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400"/>
        <w:jc w:val="left"/>
      </w:pPr>
      <w:r>
        <w:rPr>
          <w:rFonts w:ascii="Noto Sans CJK SC" w:hAnsi="Noto Sans CJK SC" w:eastAsia="Noto Sans CJK SC"/>
          <w:b/>
          <w:color w:val="167D8D"/>
          <w:sz w:val="30"/>
        </w:rPr>
        <w:t>STORAGE LABOS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15324B"/>
            <w:tcMar>
              <w:top w:w="260" w:type="dxa"/>
              <w:start w:w="260" w:type="dxa"/>
              <w:bottom w:w="260" w:type="dxa"/>
              <w:end w:w="26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160"/>
            </w:pPr>
            <w:r>
              <w:rPr>
                <w:rFonts w:ascii="Noto Sans CJK SC" w:hAnsi="Noto Sans CJK SC" w:eastAsia="Noto Sans CJK SC"/>
                <w:b/>
                <w:color w:val="FFFFFF"/>
                <w:sz w:val="56"/>
              </w:rPr>
              <w:t>固件回归测试值守机器人</w:t>
            </w:r>
          </w:p>
          <w:p>
            <w:pPr>
              <w:spacing w:after="0"/>
            </w:pPr>
            <w:r>
              <w:rPr>
                <w:rFonts w:ascii="Noto Sans CJK SC" w:hAnsi="Noto Sans CJK SC" w:eastAsia="Noto Sans CJK SC"/>
                <w:color w:val="D8E9EC"/>
                <w:sz w:val="32"/>
              </w:rPr>
              <w:t>产品定义、开发方案、竞争策略与未来规划</w:t>
            </w:r>
          </w:p>
        </w:tc>
      </w:tr>
    </w:tbl>
    <w:p>
      <w:pPr>
        <w:widowControl/>
        <w:spacing w:before="360" w:after="80"/>
      </w:pPr>
      <w:r>
        <w:rPr>
          <w:rFonts w:ascii="Noto Sans CJK SC" w:hAnsi="Noto Sans CJK SC" w:eastAsia="Noto Sans CJK SC"/>
          <w:b/>
          <w:color w:val="167D8D"/>
          <w:sz w:val="22"/>
        </w:rPr>
        <w:t>核心命题</w:t>
      </w:r>
    </w:p>
    <w:p>
      <w:pPr>
        <w:widowControl/>
        <w:spacing w:after="280" w:line="312" w:lineRule="auto"/>
      </w:pPr>
      <w:r>
        <w:rPr>
          <w:rFonts w:ascii="Noto Sans CJK SC" w:hAnsi="Noto Sans CJK SC" w:eastAsia="Noto Sans CJK SC"/>
          <w:b/>
          <w:color w:val="15324B"/>
          <w:sz w:val="36"/>
        </w:rPr>
        <w:t>不重新发明测试工具，先把工程师从刷版本、守机器、重启、收日志、填报告等机械劳动中解放出来。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cantSplit/>
        </w:trPr>
        <w:tc>
          <w:tcPr>
            <w:tcW w:type="dxa" w:w="2324"/>
            <w:shd w:fill="EAF0F5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产品代号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Storage LabOS · Regression Worker</w:t>
            </w:r>
          </w:p>
        </w:tc>
      </w:tr>
      <w:tr>
        <w:trPr>
          <w:cantSplit/>
        </w:trPr>
        <w:tc>
          <w:tcPr>
            <w:tcW w:type="dxa" w:w="2324"/>
            <w:shd w:fill="F4F6F8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版本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V1.0</w:t>
            </w:r>
          </w:p>
        </w:tc>
      </w:tr>
      <w:tr>
        <w:trPr>
          <w:cantSplit/>
        </w:trPr>
        <w:tc>
          <w:tcPr>
            <w:tcW w:type="dxa" w:w="2324"/>
            <w:shd w:fill="EAF0F5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日期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2026年7月27日</w:t>
            </w:r>
          </w:p>
        </w:tc>
      </w:tr>
      <w:tr>
        <w:trPr>
          <w:cantSplit/>
        </w:trPr>
        <w:tc>
          <w:tcPr>
            <w:tcW w:type="dxa" w:w="2324"/>
            <w:shd w:fill="F4F6F8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适用对象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联合创始人、产品负责人、研发团队、首批试点客户</w:t>
            </w:r>
          </w:p>
        </w:tc>
      </w:tr>
      <w:tr>
        <w:trPr>
          <w:cantSplit/>
        </w:trPr>
        <w:tc>
          <w:tcPr>
            <w:tcW w:type="dxa" w:w="2324"/>
            <w:shd w:fill="EAF0F5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首个落地场景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固件 A/B 版本的无人值守循环回归</w:t>
            </w:r>
          </w:p>
        </w:tc>
      </w:tr>
      <w:tr>
        <w:trPr>
          <w:cantSplit/>
        </w:trPr>
        <w:tc>
          <w:tcPr>
            <w:tcW w:type="dxa" w:w="2324"/>
            <w:shd w:fill="F4F6F8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b/>
                <w:color w:val="15324B"/>
                <w:sz w:val="19"/>
              </w:rPr>
              <w:t>北极星指标</w:t>
            </w:r>
          </w:p>
        </w:tc>
        <w:tc>
          <w:tcPr>
            <w:tcW w:type="dxa" w:w="7427"/>
            <w:shd w:fill="FFFFFF"/>
            <w:tcMar>
              <w:top w:w="95" w:type="dxa"/>
              <w:start w:w="110" w:type="dxa"/>
              <w:bottom w:w="95" w:type="dxa"/>
              <w:end w:w="11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r>
              <w:rPr>
                <w:rFonts w:ascii="Noto Sans CJK SC" w:hAnsi="Noto Sans CJK SC" w:eastAsia="Noto Sans CJK SC"/>
                <w:color w:val="1D2730"/>
                <w:sz w:val="19"/>
              </w:rPr>
              <w:t>无人值守完成率 + 每工位释放的工程师工时</w:t>
            </w:r>
          </w:p>
        </w:tc>
      </w:tr>
    </w:tbl>
    <w:p>
      <w:pPr>
        <w:widowControl/>
        <w:spacing w:before="440"/>
        <w:jc w:val="left"/>
      </w:pPr>
      <w:r>
        <w:rPr>
          <w:rFonts w:ascii="Noto Sans CJK SC" w:hAnsi="Noto Sans CJK SC" w:eastAsia="Noto Sans CJK SC"/>
          <w:b/>
          <w:color w:val="167D8D"/>
          <w:sz w:val="20"/>
        </w:rPr>
        <w:t>一句话定位：</w:t>
      </w:r>
      <w:r>
        <w:rPr>
          <w:rFonts w:ascii="Noto Sans CJK SC" w:hAnsi="Noto Sans CJK SC" w:eastAsia="Noto Sans CJK SC"/>
          <w:color w:val="637381"/>
          <w:sz w:val="20"/>
        </w:rPr>
        <w:t>固件提交后，系统自动刷版本、运行回归、处理卡死、收集证据、复现失败，并生成版本结论和缺陷单。</w:t>
      </w:r>
    </w:p>
    <w:p>
      <w:pPr>
        <w:widowControl/>
        <w:sectPr>
          <w:pgSz w:w="11906" w:h="16838"/>
          <w:pgMar w:top="1020" w:right="1077" w:bottom="907" w:left="1077" w:header="720" w:footer="720" w:gutter="0"/>
          <w:cols w:space="720"/>
          <w:titlePg/>
          <w:docGrid w:linePitch="360"/>
        </w:sectPr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文档摘要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EAF0F5"/>
            <w:tcBorders>
              <w:top w:sz="12" w:val="single" w:color="15324B"/>
              <w:left w:sz="30" w:val="single" w:color="15324B"/>
              <w:bottom w:sz="12" w:val="single" w:color="15324B"/>
              <w:right w:sz="12" w:val="single" w:color="15324B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15324B"/>
                <w:sz w:val="22"/>
              </w:rPr>
              <w:t>最终建议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先做“单工位固件回归值守机器人”，证明它能在一块 SSD、两个固件版本和一套真实 SOP 下，无人值守完成循环测试；测试主机卡死后自动恢复；失败时保存完整证据；结束后自动形成 A/B 对比报告。不要从协议合规、EDA、PCIe 高速背板或自研主控起步。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本项目的本质不是“AI 会不会判断 SSD”，而是建立一个存储实验室数字执行员：专家负责定义测试和决策，系统负责反复执行、值守、恢复、留证和整理。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公开市场中的 ULINK、OakGate、SANBlaze、Quarch 与 PyNVMe3 已经证明存储验证、供电控制、故障注入和自动化测试存在稳定需求；同时也说明新团队不应在底层测试覆盖和最新 PCIe 代际上正面竞争。你们的切口是这些能力之上的统一控制平面。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32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问题</w:t>
            </w:r>
          </w:p>
        </w:tc>
        <w:tc>
          <w:tcPr>
            <w:tcW w:type="dxa" w:w="453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方案</w:t>
            </w:r>
          </w:p>
        </w:tc>
        <w:tc>
          <w:tcPr>
            <w:tcW w:type="dxa" w:w="289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可量化结果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工程师夜间值守、失败后人工重启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带外控制器监测主机，分级执行软恢复、Reset、整机断电恢复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人工介入次数、自动恢复成功率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工具和脚本分散，失败现场不完整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统一连接器和 Evidence Bundle，将日志、设备状态、画面、温度和恢复过程对齐</w:t>
            </w:r>
          </w:p>
        </w:tc>
        <w:tc>
          <w:tcPr>
            <w:tcW w:type="dxa" w:w="289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证据完整率、从失败到可提单时间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回归结果靠 Excel 和人工对比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固件 A/B 自动对比、失败指纹聚类、自动生成报告与缺陷单</w:t>
            </w:r>
          </w:p>
        </w:tc>
        <w:tc>
          <w:tcPr>
            <w:tcW w:type="dxa" w:w="289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报告生成时间、重复问题合并率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企业已有工具难以推倒重来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以插件方式接入 DriveMaster、SANBlaze、Quarch、PyNVMe、fio 及私有工具</w:t>
            </w:r>
          </w:p>
        </w:tc>
        <w:tc>
          <w:tcPr>
            <w:tcW w:type="dxa" w:w="289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接入周期、适配器数量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目录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167D8D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上半部分</w:t>
            </w:r>
          </w:p>
        </w:tc>
        <w:tc>
          <w:tcPr>
            <w:tcW w:type="dxa" w:w="4876"/>
            <w:shd w:fill="167D8D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下半部分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1. 项目判断与战略边界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7. 硬件方案与演进路径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2. 行业痛点、用户与价值模型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8. 竞品分析与竞争策略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3. 产品定位与主打卖点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9. 差异化、护城河与品牌表达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4. MVP 产品定义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10. 产品路线与未来规划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5-6. 产品功能、技术架构与开发方向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11-12. 商业化、团队分工与附录 A-D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1. 项目判断与战略边界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1.1 核心判断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E8F4F5"/>
            <w:tcBorders>
              <w:top w:sz="12" w:val="single" w:color="167D8D"/>
              <w:left w:sz="30" w:val="single" w:color="167D8D"/>
              <w:bottom w:sz="12" w:val="single" w:color="167D8D"/>
              <w:right w:sz="12" w:val="single" w:color="167D8D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167D8D"/>
                <w:sz w:val="22"/>
              </w:rPr>
              <w:t>战略公式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已有测试能力 × 无人值守执行 × 带外自救 × 证据闭环 × 失败复现 = 第一款可卖的产品。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你们最适合的起点不是存储芯片设计、EDA、主控固件本身，也不是再造一套协议测试仪，而是替代存储公司中高频、固定、耗时但决策含量低的执行劳动。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测试与验证并非“无脑工作”本身。真正应该被替代的是其中的机械执行层：准备环境、刷固件、反复启动、等待、检测卡死、收集日志、截图、对比版本、整理报告。测试设计、根因确认和发布决策继续由工程师负责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1.2 产品要解决的任务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把一份固定 SOP 转换成可审计、可恢复、可重复执行的结构化工作流。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在无人值守状态下完成固件刷写、I/O、重启、休眠、恢复和数据校验循环。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测试主机失联或崩溃后，由独立带外控制器恢复环境并从安全检查点继续。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失败发生时自动保存完整现场，而不是只留下“第 67 轮失败”。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将固件 A/B 的结果自动对比，并输出研发可直接使用的报告和缺陷草稿。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兼容客户已有测试工具和私有脚本，降低替换阻力。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1.3 明确不做什么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60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非目标</w:t>
            </w:r>
          </w:p>
        </w:tc>
        <w:tc>
          <w:tcPr>
            <w:tcW w:type="dxa" w:w="459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原因</w:t>
            </w:r>
          </w:p>
        </w:tc>
        <w:tc>
          <w:tcPr>
            <w:tcW w:type="dxa" w:w="255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何时再考虑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重新开发完整 NVMe 协议合规套件</w:t>
            </w:r>
          </w:p>
        </w:tc>
        <w:tc>
          <w:tcPr>
            <w:tcW w:type="dxa" w:w="459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成熟厂商与开源框架已经积累大量用例；首版投入大、差异化弱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客户明确需要且已有稳定收入后，以连接器或合作方式补齐</w:t>
            </w:r>
          </w:p>
        </w:tc>
      </w:tr>
      <w:tr>
        <w:trPr>
          <w:cantSplit/>
        </w:trPr>
        <w:tc>
          <w:tcPr>
            <w:tcW w:type="dxa" w:w="260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PCIe Gen5/Gen6 高速背板与协议分析仪</w:t>
            </w:r>
          </w:p>
        </w:tc>
        <w:tc>
          <w:tcPr>
            <w:tcW w:type="dxa" w:w="459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涉及高速信号完整性、时序、电源和认证，容易拖慢产品验证</w:t>
            </w:r>
          </w:p>
        </w:tc>
        <w:tc>
          <w:tcPr>
            <w:tcW w:type="dxa" w:w="255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在单工位软件闭环和客户付费成立后，由专门硬件团队推进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让大模型直接控制破坏性命令</w:t>
            </w:r>
          </w:p>
        </w:tc>
        <w:tc>
          <w:tcPr>
            <w:tcW w:type="dxa" w:w="459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误操作代价高，不能把安全交给概率模型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大模型只生成草稿；确定性规则和人工审批执行</w:t>
            </w:r>
          </w:p>
        </w:tc>
      </w:tr>
      <w:tr>
        <w:trPr>
          <w:cantSplit/>
        </w:trPr>
        <w:tc>
          <w:tcPr>
            <w:tcW w:type="dxa" w:w="260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自动批准固件发布</w:t>
            </w:r>
          </w:p>
        </w:tc>
        <w:tc>
          <w:tcPr>
            <w:tcW w:type="dxa" w:w="459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发布是工程责任与组织流程，不应由系统越权</w:t>
            </w:r>
          </w:p>
        </w:tc>
        <w:tc>
          <w:tcPr>
            <w:tcW w:type="dxa" w:w="255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系统提供门禁证据和风险提示</w:t>
            </w:r>
          </w:p>
        </w:tc>
      </w:tr>
      <w:tr>
        <w:trPr>
          <w:cantSplit/>
        </w:trPr>
        <w:tc>
          <w:tcPr>
            <w:tcW w:type="dxa" w:w="260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EDA 或芯片设计自动化</w:t>
            </w:r>
          </w:p>
        </w:tc>
        <w:tc>
          <w:tcPr>
            <w:tcW w:type="dxa" w:w="459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进入核心设计签核，专业、信任、数据和销售门槛均过高</w:t>
            </w:r>
          </w:p>
        </w:tc>
        <w:tc>
          <w:tcPr>
            <w:tcW w:type="dxa" w:w="255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长期若有明确行业伙伴再单独评估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1.4 产品切入点</w:t>
      </w:r>
    </w:p>
    <w:p>
      <w:pPr>
        <w:widowControl/>
      </w:pPr>
      <w:r>
        <w:drawing>
          <wp:inline xmlns:a="http://schemas.openxmlformats.org/drawingml/2006/main" xmlns:pic="http://schemas.openxmlformats.org/drawingml/2006/picture">
            <wp:extent cx="6192000" cy="3577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sitioning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577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120"/>
        <w:jc w:val="center"/>
      </w:pPr>
      <w:r>
        <w:rPr>
          <w:rFonts w:ascii="Noto Sans CJK SC" w:hAnsi="Noto Sans CJK SC" w:eastAsia="Noto Sans CJK SC"/>
          <w:i/>
          <w:color w:val="637381"/>
          <w:sz w:val="17"/>
        </w:rPr>
        <w:t>图 1｜本产品不与底层测试平台争夺协议覆盖，而是作为统一执行与闭环层。</w:t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2. 行业痛点、用户与价值模型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2.1 目标用户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98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用户角色</w:t>
            </w:r>
          </w:p>
        </w:tc>
        <w:tc>
          <w:tcPr>
            <w:tcW w:type="dxa" w:w="391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日常痛点</w:t>
            </w:r>
          </w:p>
        </w:tc>
        <w:tc>
          <w:tcPr>
            <w:tcW w:type="dxa" w:w="385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本产品交付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固件工程师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新固件出来后要等回归结果；失败信息不完整，复现成本高</w:t>
            </w:r>
          </w:p>
        </w:tc>
        <w:tc>
          <w:tcPr>
            <w:tcW w:type="dxa" w:w="38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版本差异、失败证据、最短复现建议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验证 / QA 工程师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大量时间花在刷版本、守机器、重跑和填表</w:t>
            </w:r>
          </w:p>
        </w:tc>
        <w:tc>
          <w:tcPr>
            <w:tcW w:type="dxa" w:w="385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无人值守执行、自动恢复、自动报告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实验室负责人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机器利用率低，夜间失败无人处理，资源状态不透明</w:t>
            </w:r>
          </w:p>
        </w:tc>
        <w:tc>
          <w:tcPr>
            <w:tcW w:type="dxa" w:w="38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工位在线率、任务队列、人工介入统计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FAE / 客户支持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现场问题难复现，日志来源分散</w:t>
            </w:r>
          </w:p>
        </w:tc>
        <w:tc>
          <w:tcPr>
            <w:tcW w:type="dxa" w:w="385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统一证据包、复现工作流、环境指纹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研发经理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无法准确知道版本风险和回归进度</w:t>
            </w:r>
          </w:p>
        </w:tc>
        <w:tc>
          <w:tcPr>
            <w:tcW w:type="dxa" w:w="385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版本门禁看板、阻断问题、历史趋势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2.2 当前人工流程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领取测试盘 → 核对序列号 → 刷入固件 → 重启并确认版本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配置测试环境 → 跑现有脚本 → 等待 / 观察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卡死后人工重启 → 重跑失败段 → 收集多处日志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截图 / 复制数据 → 与上一版对比 → 填 Excel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写测试报告 → 建缺陷单 → 工程师再次复现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这里面真正需要专业判断的环节有限，但每一次执行都需要工程师保持在线。夜间失败、主机蓝屏、网络断开和脚本挂起会让“已经自动化的测试”重新变成人工值守。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2.3 目标流程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工程师选择 DUT + 固件 A/B + 已审核工作流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系统完成安全预检和环境指纹记录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自动刷写、运行、重启、休眠、恢复、校验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失联时带外控制器分级自救并留痕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失败时自动收集 Evidence Bundle 并重现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自动聚类同类失败、对比 A/B、生成报告和缺陷草稿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工程师只处理需要判断的异常与发布决策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2.4 价值模型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EAF0F5"/>
            <w:tcBorders>
              <w:top w:sz="12" w:val="single" w:color="15324B"/>
              <w:left w:sz="30" w:val="single" w:color="15324B"/>
              <w:bottom w:sz="12" w:val="single" w:color="15324B"/>
              <w:right w:sz="12" w:val="single" w:color="15324B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15324B"/>
                <w:sz w:val="22"/>
              </w:rPr>
              <w:t>北极星指标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每个测试工位每周释放的工程师工时。辅助指标包括无人值守完成率、人工介入次数、自动恢复成功率、证据完整率和从失败到可提单的时间。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04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453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定义</w:t>
            </w:r>
          </w:p>
        </w:tc>
        <w:tc>
          <w:tcPr>
            <w:tcW w:type="dxa" w:w="317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产品阶段目标</w:t>
            </w:r>
          </w:p>
        </w:tc>
      </w:tr>
      <w:tr>
        <w:trPr>
          <w:cantSplit/>
        </w:trPr>
        <w:tc>
          <w:tcPr>
            <w:tcW w:type="dxa" w:w="20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无人值守完成率 UCR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无人工触碰完成的计划任务数 ÷ 总计划任务数</w:t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POC 先达到可用；产品化后持续逼近 98%+</w:t>
            </w:r>
          </w:p>
        </w:tc>
      </w:tr>
      <w:tr>
        <w:trPr>
          <w:cantSplit/>
        </w:trPr>
        <w:tc>
          <w:tcPr>
            <w:tcW w:type="dxa" w:w="204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人工介入密度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每 100 小时测试需要人工处理的次数</w:t>
            </w:r>
          </w:p>
        </w:tc>
        <w:tc>
          <w:tcPr>
            <w:tcW w:type="dxa" w:w="317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持续下降，且分类记录介入原因</w:t>
            </w:r>
          </w:p>
        </w:tc>
      </w:tr>
      <w:tr>
        <w:trPr>
          <w:cantSplit/>
        </w:trPr>
        <w:tc>
          <w:tcPr>
            <w:tcW w:type="dxa" w:w="20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自动恢复成功率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主机/Agent 失联后由带外控制恢复的成功比例</w:t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区分软恢复、Reset、整机断电三层</w:t>
            </w:r>
          </w:p>
        </w:tc>
      </w:tr>
      <w:tr>
        <w:trPr>
          <w:cantSplit/>
        </w:trPr>
        <w:tc>
          <w:tcPr>
            <w:tcW w:type="dxa" w:w="204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证据完整率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失败任务是否包含规定的环境、日志、状态和恢复记录</w:t>
            </w:r>
          </w:p>
        </w:tc>
        <w:tc>
          <w:tcPr>
            <w:tcW w:type="dxa" w:w="317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关键字段不得因主机崩溃而丢失</w:t>
            </w:r>
          </w:p>
        </w:tc>
      </w:tr>
      <w:tr>
        <w:trPr>
          <w:cantSplit/>
        </w:trPr>
        <w:tc>
          <w:tcPr>
            <w:tcW w:type="dxa" w:w="204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报告交付时间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任务结束到可审阅报告生成的时间</w:t>
            </w:r>
          </w:p>
        </w:tc>
        <w:tc>
          <w:tcPr>
            <w:tcW w:type="dxa" w:w="317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分钟级，而不是人工半天整理</w:t>
            </w:r>
          </w:p>
        </w:tc>
      </w:tr>
      <w:tr>
        <w:trPr>
          <w:cantSplit/>
        </w:trPr>
        <w:tc>
          <w:tcPr>
            <w:tcW w:type="dxa" w:w="204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基础设施误报率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被错误归因到 DUT 的脚本、主机或网络故障比例</w:t>
            </w:r>
          </w:p>
        </w:tc>
        <w:tc>
          <w:tcPr>
            <w:tcW w:type="dxa" w:w="317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必须单独监控，否则自动化会制造噪声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3. 产品定位与主打卖点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3.1 一句话定位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E8F4F5"/>
            <w:tcBorders>
              <w:top w:sz="12" w:val="single" w:color="167D8D"/>
              <w:left w:sz="30" w:val="single" w:color="167D8D"/>
              <w:bottom w:sz="12" w:val="single" w:color="167D8D"/>
              <w:right w:sz="12" w:val="single" w:color="167D8D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167D8D"/>
                <w:sz w:val="22"/>
              </w:rPr>
              <w:t>产品定义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固件提交后，系统自动刷版本、运行回归、处理卡死、收集证据、复现失败，并生成版本结论和缺陷单。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产品名可以暂定为 Storage LabOS，第一款模块叫 Regression Worker。品牌不必强调“AI SSD”，应强调“固件回归不再靠人熬夜”。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3.2 三个主打点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32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主打点</w:t>
            </w:r>
          </w:p>
        </w:tc>
        <w:tc>
          <w:tcPr>
            <w:tcW w:type="dxa" w:w="419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用户能感知到的结果</w:t>
            </w:r>
          </w:p>
        </w:tc>
        <w:tc>
          <w:tcPr>
            <w:tcW w:type="dxa" w:w="323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为什么重要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一、自动完成，而不只是自动启动</w:t>
            </w:r>
          </w:p>
        </w:tc>
        <w:tc>
          <w:tcPr>
            <w:tcW w:type="dxa" w:w="419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工程师配置一次，系统整夜运行；主机卡死后能够继续，而不是停在那里等人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多数“自动化脚本”在异常后仍需要值守，这是实际人工成本来源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二、失败自动留证</w:t>
            </w:r>
          </w:p>
        </w:tc>
        <w:tc>
          <w:tcPr>
            <w:tcW w:type="dxa" w:w="419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每个失败形成统一时间线和 Evidence Bundle，包含环境、命令、日志、设备状态、画面、温度和恢复过程</w:t>
            </w:r>
          </w:p>
        </w:tc>
        <w:tc>
          <w:tcPr>
            <w:tcW w:type="dxa" w:w="323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减少“无法复现”和跨团队来回索取材料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三、不推翻现有工具</w:t>
            </w:r>
          </w:p>
        </w:tc>
        <w:tc>
          <w:tcPr>
            <w:tcW w:type="dxa" w:w="419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DriveMaster、SANBlaze、Quarch、PyNVMe、fio、私有刷写工具和脚本均以连接器方式接入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降低客户迁移成本，也避免与成熟平台在底层能力上正面竞争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3.3 支撑卖点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基础设施故障与 DUT 故障分开：网络、脚本、系统、Agent、供电和设备异常使用不同状态码。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失败自动复现与缩小范围：固定环境重跑、局部步骤重跑、单变量验证和版本二分。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A/B 版本结论直接可用：不仅给 Pass/Fail，还给新增、消失、加重和偶发问题。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安全优先：绑定 DUT 序列号、破坏性动作白名单、工作流签名、权限和全量审计。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私有化部署：客户日志、固件和工具默认不离开内网；AI 可选本地模型。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报告在测试结束时已完成：工程师从执行者变成审阅者。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3.4 对外表达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32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场景</w:t>
            </w:r>
          </w:p>
        </w:tc>
        <w:tc>
          <w:tcPr>
            <w:tcW w:type="dxa" w:w="7427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推荐表述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官网主标题</w:t>
            </w:r>
          </w:p>
        </w:tc>
        <w:tc>
          <w:tcPr>
            <w:tcW w:type="dxa" w:w="74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固件回归不再需要工程师通宵值守。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副标题</w:t>
            </w:r>
          </w:p>
        </w:tc>
        <w:tc>
          <w:tcPr>
            <w:tcW w:type="dxa" w:w="742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机器卡死能自救，失败自动留证，第二天直接看版本结论。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对研发负责人</w:t>
            </w:r>
          </w:p>
        </w:tc>
        <w:tc>
          <w:tcPr>
            <w:tcW w:type="dxa" w:w="74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把初级工程师从刷版本、重启、收日志和填报告中释放出来。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对实验室负责人</w:t>
            </w:r>
          </w:p>
        </w:tc>
        <w:tc>
          <w:tcPr>
            <w:tcW w:type="dxa" w:w="742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提升工位利用率，量化每周节省的人工介入和停机时间。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不建议使用</w:t>
            </w:r>
          </w:p>
        </w:tc>
        <w:tc>
          <w:tcPr>
            <w:tcW w:type="dxa" w:w="742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“AI 精准判断所有 SSD 根因”“替代验证工程师”“一套工具取代所有测试平台”。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4. MVP 产品定义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4.1 首个场景：固件 A/B 的 100 次循环回归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MVP 只支持一个 SSD 型号、两个固件版本、一台 Windows 或 Linux 测试主机和一套真实 SOP。测试组合可包含 I/O、重启、冷启动、休眠恢复和数据校验。目标不是覆盖所有测试，而是证明全流程能无人值守闭环。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4.2 用户操作流程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1.  选择已登记的测试主机与 DUT，系统校验序列号、容量、当前固件和允许动作。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2.  选择固件 A、固件 B 以及一套已审核工作流模板。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3.  设置循环次数、重试策略、报告接收人和是否允许破坏性写入。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4.  系统执行环境预检：磁盘空间、网络、带外控制器、工具版本、日志目录和时间同步。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5.  任务开始后实时显示当前步骤、轮次、主机状态、设备枚举和关键指标。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6.  异常时自动收证、恢复、重试或中止，并明确区分基础设施故障与 DUT 故障。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7.  任务结束后输出固件 A/B 对比、失败簇、证据包和缺陷草稿。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4.3 MVP 范围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包含</w:t>
            </w:r>
          </w:p>
        </w:tc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暂不包含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单工位、单 DUT；Windows 或 Linux 二选一先做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多租户云平台与复杂计费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Python / Shell / PowerShell / fio / nvme-cli / 私有 CLI 连接器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完整 NVMe 合规套件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重启、休眠、冷启动、主机掉电恢复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精准 M.2 3.3V 微秒级掉电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树莓派带外 Power / Reset / 心跳 / 温度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PCIe Gen5/Gen6 自研高速背板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设备、主机、固件和环境指纹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自动 BIOS 版本刷写与视觉操作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统一日志、截图、状态和 Evidence Bundle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大规模预测性故障模型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规则判定 + AI 摘要 / 报告 / 复现建议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由 AI 直接执行危险命令或批准发布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4.4 MVP 功能模块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81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模块</w:t>
            </w:r>
          </w:p>
        </w:tc>
        <w:tc>
          <w:tcPr>
            <w:tcW w:type="dxa" w:w="453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MVP 功能</w:t>
            </w:r>
          </w:p>
        </w:tc>
        <w:tc>
          <w:tcPr>
            <w:tcW w:type="dxa" w:w="340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验收重点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资产中心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测试主机、DUT、固件、工具版本、序列号与标签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任何破坏性任务必须绑定允许的 DUT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工作流引擎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步骤、循环、条件、超时、重试、检查点、失败处理</w:t>
            </w:r>
          </w:p>
        </w:tc>
        <w:tc>
          <w:tcPr>
            <w:tcW w:type="dxa" w:w="340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任务重启后能从安全状态继续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Host Agent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执行命令、采集日志、心跳、设备枚举、上传证据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Agent 崩溃不应导致全部证据丢失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软重启、Reset、整机电源循环、在线状态监测</w:t>
            </w:r>
          </w:p>
        </w:tc>
        <w:tc>
          <w:tcPr>
            <w:tcW w:type="dxa" w:w="340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测试主机完全失联时仍可操作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Evidence Bus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统一事件时间戳、原始日志、截图、摘要、哈希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失败材料可追溯且不被覆盖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比较与报告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A/B 通过率、失败类型、恢复次数、性能与温度差异</w:t>
            </w:r>
          </w:p>
        </w:tc>
        <w:tc>
          <w:tcPr>
            <w:tcW w:type="dxa" w:w="340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报告结论能回链到证据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AI 助手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SOP 草拟、日志摘要、失败归类建议、缺陷草稿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所有结论必须引用证据，不直接控制危险动作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4.5 POC 验收门槛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26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门槛</w:t>
            </w:r>
          </w:p>
        </w:tc>
        <w:tc>
          <w:tcPr>
            <w:tcW w:type="dxa" w:w="748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最低验收标准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完整执行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对固件 A、B 分别完成规定循环，支持中断恢复和任务审计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零误盘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所有破坏性动作均经过序列号和系统盘保护校验，误操作次数必须为 0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自救能力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模拟 Agent 停止、系统卡死或网络失联时，能够触发至少两级恢复策略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证据闭环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每个失败均可打开一条时间线，并下载统一证据包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版本比较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能够明确显示新增失败、已修复失败、重复失败与基础设施失败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人工减少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与原人工 SOP 对比，显著减少夜间值守、重启、收日志和整理报告时间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5. 产品功能与交互方案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5.1 页面结构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8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页面</w:t>
            </w:r>
          </w:p>
        </w:tc>
        <w:tc>
          <w:tcPr>
            <w:tcW w:type="dxa" w:w="4649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核心内容</w:t>
            </w:r>
          </w:p>
        </w:tc>
        <w:tc>
          <w:tcPr>
            <w:tcW w:type="dxa" w:w="323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用户动作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总览 Dashboard</w:t>
            </w:r>
          </w:p>
        </w:tc>
        <w:tc>
          <w:tcPr>
            <w:tcW w:type="dxa" w:w="464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运行中任务、工位在线率、异常、人工介入、版本风险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快速判断实验室是否需要人处理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资产中心</w:t>
            </w:r>
          </w:p>
        </w:tc>
        <w:tc>
          <w:tcPr>
            <w:tcW w:type="dxa" w:w="464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主机、DUT、固件、工具、带外控制器、标签与状态</w:t>
            </w:r>
          </w:p>
        </w:tc>
        <w:tc>
          <w:tcPr>
            <w:tcW w:type="dxa" w:w="323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登记、绑定、禁用和审计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工作流模板</w:t>
            </w:r>
          </w:p>
        </w:tc>
        <w:tc>
          <w:tcPr>
            <w:tcW w:type="dxa" w:w="464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SOP 转换后的步骤、参数、权限、版本和审批状态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复制、编辑、审核、发布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任务创建</w:t>
            </w:r>
          </w:p>
        </w:tc>
        <w:tc>
          <w:tcPr>
            <w:tcW w:type="dxa" w:w="464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选择资产、固件、模板、循环、报告和安全策略</w:t>
            </w:r>
          </w:p>
        </w:tc>
        <w:tc>
          <w:tcPr>
            <w:tcW w:type="dxa" w:w="323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启动或预约任务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实时运行</w:t>
            </w:r>
          </w:p>
        </w:tc>
        <w:tc>
          <w:tcPr>
            <w:tcW w:type="dxa" w:w="464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当前轮次、步骤、心跳、设备状态、日志和恢复动作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只在必须时人工接管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证据浏览器</w:t>
            </w:r>
          </w:p>
        </w:tc>
        <w:tc>
          <w:tcPr>
            <w:tcW w:type="dxa" w:w="464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失败时间线、原始日志、截图、环境和哈希</w:t>
            </w:r>
          </w:p>
        </w:tc>
        <w:tc>
          <w:tcPr>
            <w:tcW w:type="dxa" w:w="323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定位证据、下载包、生成缺陷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版本比较</w:t>
            </w:r>
          </w:p>
        </w:tc>
        <w:tc>
          <w:tcPr>
            <w:tcW w:type="dxa" w:w="464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A/B 成功率、失败簇、性能、温度和恢复差异</w:t>
            </w:r>
          </w:p>
        </w:tc>
        <w:tc>
          <w:tcPr>
            <w:tcW w:type="dxa" w:w="323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作出版本判断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失败中心</w:t>
            </w:r>
          </w:p>
        </w:tc>
        <w:tc>
          <w:tcPr>
            <w:tcW w:type="dxa" w:w="464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跨任务聚类、指纹、首次/最近出现、关联版本</w:t>
            </w:r>
          </w:p>
        </w:tc>
        <w:tc>
          <w:tcPr>
            <w:tcW w:type="dxa" w:w="323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去重、标记、复现和分派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5.2 失败状态模型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INFRA_NETWORK_FAILURE       网络 / 交换机 / SSH / RPC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INFRA_AGENT_FAILURE         Agent 或插件运行器异常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INFRA_HOST_OS_FAILURE       蓝屏、Kernel Panic、系统无法启动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TEST_SCRIPT_FAILURE         脚本异常、参数错误、依赖缺失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DUT_ENUMERATION_FAILURE     SSD 未识别、掉盘、链路异常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DUT_DATA_FAILURE            校验失败、介质错误、不可恢复数据错误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DUT_PERFORMANCE_REGRESSION  超出已审核阈值的性能 / 长尾退化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DUT_FIRMWARE_FAILURE        刷写、提交、激活或回退异常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UNKNOWN                     证据不足，等待工程师分类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状态模型必须在大模型之前建立。AI 可以解释和推荐，但真正的状态码应由规则、工具返回值和硬件信号生成。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5.3 Evidence Bundle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198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7767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内容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身份与环境</w:t>
            </w:r>
          </w:p>
        </w:tc>
        <w:tc>
          <w:tcPr>
            <w:tcW w:type="dxa" w:w="77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Run ID、DUT 序列号、型号、固件、主板、BIOS、操作系统、内核/驱动、工具版本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流程上下文</w:t>
            </w:r>
          </w:p>
        </w:tc>
        <w:tc>
          <w:tcPr>
            <w:tcW w:type="dxa" w:w="776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工作流版本、步骤、循环轮次、输入参数、超时、重试和检查点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设备证据</w:t>
            </w:r>
          </w:p>
        </w:tc>
        <w:tc>
          <w:tcPr>
            <w:tcW w:type="dxa" w:w="77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Identify、SMART/Health、Error Log、Self-test、Telemetry/厂商私有日志（可用时）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主机证据</w:t>
            </w:r>
          </w:p>
        </w:tc>
        <w:tc>
          <w:tcPr>
            <w:tcW w:type="dxa" w:w="776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系统日志、事件查看器、dmesg/journal、进程、资源、设备枚举和链路状态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现场证据</w:t>
            </w:r>
          </w:p>
        </w:tc>
        <w:tc>
          <w:tcPr>
            <w:tcW w:type="dxa" w:w="77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HDMI 截图/录像、串口、温度、供电控制动作、主机心跳和网络状态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数据证据</w:t>
            </w:r>
          </w:p>
        </w:tc>
        <w:tc>
          <w:tcPr>
            <w:tcW w:type="dxa" w:w="776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测试文件哈希、校验结果、失败 LBA/范围、fio/PyNVMe/私有工具输出</w:t>
            </w:r>
          </w:p>
        </w:tc>
      </w:tr>
      <w:tr>
        <w:trPr>
          <w:cantSplit/>
        </w:trPr>
        <w:tc>
          <w:tcPr>
            <w:tcW w:type="dxa" w:w="19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恢复证据</w:t>
            </w:r>
          </w:p>
        </w:tc>
        <w:tc>
          <w:tcPr>
            <w:tcW w:type="dxa" w:w="776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软恢复、Reset、断电、重新上线、重新枚举和恢复耗时</w:t>
            </w:r>
          </w:p>
        </w:tc>
      </w:tr>
      <w:tr>
        <w:trPr>
          <w:cantSplit/>
        </w:trPr>
        <w:tc>
          <w:tcPr>
            <w:tcW w:type="dxa" w:w="19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完整性</w:t>
            </w:r>
          </w:p>
        </w:tc>
        <w:tc>
          <w:tcPr>
            <w:tcW w:type="dxa" w:w="776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所有文件清单、时间戳、大小、哈希和生成组件版本</w:t>
            </w:r>
          </w:p>
        </w:tc>
      </w:tr>
    </w:tbl>
    <w:p>
      <w:pPr>
        <w:widowControl/>
        <w:spacing w:after="4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NVMe 标准已经定义 SMART/Health、Error Information、Device Self-test、Persistent Event 和 Telemetry 等可供诊断的日志或能力；厂商私有日志可通过专用工具或 nvme-cli 插件扩展读取。[11][12]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5.4 A/B 报告结构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执行摘要：版本是否建议进入下一阶段、阻断问题数量、关键风险。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环境锁定：两次测试的主机、BIOS、OS、驱动、工具和配置是否一致。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通过率与稳定性：总循环、完整完成、失败、自动恢复、人工介入。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问题变化：新增、已修复、仍存在、出现频率变化和严重性变化。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证据链接：每一个结论回链到原始任务、事件时间线和 Evidence Bundle。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下一步建议：复现工作流、需要固定/变化的变量、建议责任团队。</w:t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6. 技术架构与开发方向</w:t>
      </w:r>
    </w:p>
    <w:p>
      <w:pPr>
        <w:widowControl/>
      </w:pPr>
      <w:r>
        <w:drawing>
          <wp:inline xmlns:a="http://schemas.openxmlformats.org/drawingml/2006/main" xmlns:pic="http://schemas.openxmlformats.org/drawingml/2006/picture">
            <wp:extent cx="6192000" cy="3990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990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120"/>
        <w:jc w:val="center"/>
      </w:pPr>
      <w:r>
        <w:rPr>
          <w:rFonts w:ascii="Noto Sans CJK SC" w:hAnsi="Noto Sans CJK SC" w:eastAsia="Noto Sans CJK SC"/>
          <w:i/>
          <w:color w:val="637381"/>
          <w:sz w:val="17"/>
        </w:rPr>
        <w:t>图 2｜MVP 总体架构。带外恢复面独立于测试主机，证据面独立保存失败现场。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6.1 核心组件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81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组件</w:t>
            </w:r>
          </w:p>
        </w:tc>
        <w:tc>
          <w:tcPr>
            <w:tcW w:type="dxa" w:w="402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职责</w:t>
            </w:r>
          </w:p>
        </w:tc>
        <w:tc>
          <w:tcPr>
            <w:tcW w:type="dxa" w:w="391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MVP 建议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Web 控制台</w:t>
            </w:r>
          </w:p>
        </w:tc>
        <w:tc>
          <w:tcPr>
            <w:tcW w:type="dxa" w:w="402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资产、模板、任务、运行状态、证据、比较和权限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Next.js + TypeScript + ECharts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API / Orchestrator</w:t>
            </w:r>
          </w:p>
        </w:tc>
        <w:tc>
          <w:tcPr>
            <w:tcW w:type="dxa" w:w="402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领域模型、权限、安全门禁、任务编排和报告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FastAPI + PostgreSQL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Durable Workflow</w:t>
            </w:r>
          </w:p>
        </w:tc>
        <w:tc>
          <w:tcPr>
            <w:tcW w:type="dxa" w:w="402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长时间任务、重试、等待主机上线、检查点与补偿动作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POC 用数据库状态机；产品化再评估 Temporal 等持久工作流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Host Agent</w:t>
            </w:r>
          </w:p>
        </w:tc>
        <w:tc>
          <w:tcPr>
            <w:tcW w:type="dxa" w:w="402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命令执行、心跳、设备/系统采集、插件隔离与上传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MVP 用 Python 服务；稳定后将核心守护进程迁移到 Go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Plugin Runner</w:t>
            </w:r>
          </w:p>
        </w:tc>
        <w:tc>
          <w:tcPr>
            <w:tcW w:type="dxa" w:w="402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接入 CLI、脚本、DriveMaster、SANBlaze、Quarch 等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清单化插件 + JSON 输入输出 + 超时/权限声明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OOB Controller</w:t>
            </w:r>
          </w:p>
        </w:tc>
        <w:tc>
          <w:tcPr>
            <w:tcW w:type="dxa" w:w="402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Power、Reset、AC、电源状态、HDMI/串口/温度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树莓派 / CM4 / 工业控制器 + 独立 Agent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Evidence Store</w:t>
            </w:r>
          </w:p>
        </w:tc>
        <w:tc>
          <w:tcPr>
            <w:tcW w:type="dxa" w:w="402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原始日志、截图、证据包和不可变清单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MinIO / S3 兼容对象存储；元数据进 PostgreSQL</w:t>
            </w:r>
          </w:p>
        </w:tc>
      </w:tr>
      <w:tr>
        <w:trPr>
          <w:cantSplit/>
        </w:trPr>
        <w:tc>
          <w:tcPr>
            <w:tcW w:type="dxa" w:w="181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AI Service</w:t>
            </w:r>
          </w:p>
        </w:tc>
        <w:tc>
          <w:tcPr>
            <w:tcW w:type="dxa" w:w="402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SOP 草拟、摘要、聚类标签、复现建议和报告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可配置本地或客户批准的模型；所有输出引用证据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6.2 工作流状态机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DRAFT → APPROVED → QUEUED → PRECHECK → RUNNING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WAITING_FOR_HOST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COLLECTING_EVIDENCE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RECOVERING → RESUME / RETRY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PASSED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FAILED_DUT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FAILED_INFRA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                 ↘ ABORTED / EMERGENCY_STOP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持久状态机比普通脚本循环重要。测试可能持续数小时或数天，控制服务、Agent、主机或网络都可能重启；任务状态必须可恢复，且每一步需要幂等、超时和补偿逻辑。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6.3 工作流定义示例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workflow_version: 1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name: fw_ab_powerstate_regression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safety: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allowed_dut_serials: ["SAMPLE-001"]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destructive_write: true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require_approval: true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variables: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cycles: 100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firmware: "FW_B.bin"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steps: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id: precheck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action: lab.precheck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id: flash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action: vendor.flash_firmware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args: {image: "${firmware}"}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id: reboot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action: host.reboot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wait_for: {agent_online: true, timeout_sec: 600}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id: loop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repeat: "${cycles}"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steps: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nvme.collect_baseline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io.run_profile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  args: {profile: "4k_mixed", duration_sec: 300}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host.hibernate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host.wait_resume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dut.verify_enumeration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  - action: data.verify_hash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on_failure: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action: evidence.capture_all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action: recovery.escalate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- action: failure.classify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6.4 插件规范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38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字段</w:t>
            </w:r>
          </w:p>
        </w:tc>
        <w:tc>
          <w:tcPr>
            <w:tcW w:type="dxa" w:w="73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作用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name / version / platform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标识连接器、版本兼容和运行环境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capabilities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声明刷固件、采日志、I/O、供电、Reset 等能力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risk_level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只读、写入、格式化、Sanitize、固件更新等风险级别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inputs / outputs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使用 JSON Schema 约束参数和结构化结果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timeout / retry / idempotent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定义超时、重试和能否安全重复执行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evidence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声明必须产生的日志、快照和状态字段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healthcheck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任务前验证工具、许可证、设备和依赖是否可用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cleanup / compensation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失败或取消后恢复环境的动作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6.5 数据模型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26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实体</w:t>
            </w:r>
          </w:p>
        </w:tc>
        <w:tc>
          <w:tcPr>
            <w:tcW w:type="dxa" w:w="748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关键字段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Host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主机 ID、硬件、BIOS、OS、驱动、Agent、带外控制器、状态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DUT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序列号、型号、容量、形态、固件、标签、允许动作、生命周期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Firmware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文件哈希、版本、来源、兼容型号、审批、刷写工具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Workflow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版本、步骤、参数、风险、审批、签名、关联 SOP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Run / Step Run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状态、时间、主机、DUT、固件、输入、输出、重试、检查点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Evidence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类型、URI、哈希、时间范围、来源组件、关联步骤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Failure Signature</w:t>
            </w:r>
          </w:p>
        </w:tc>
        <w:tc>
          <w:tcPr>
            <w:tcW w:type="dxa" w:w="748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状态码、日志特征、步骤、环境、DUT 状态、聚类 ID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Intervention</w:t>
            </w:r>
          </w:p>
        </w:tc>
        <w:tc>
          <w:tcPr>
            <w:tcW w:type="dxa" w:w="748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人工介入原因、动作、耗时、结果，用于量化真实节省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6.6 AI 与确定性系统的边界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由确定性系统负责</w:t>
            </w:r>
          </w:p>
        </w:tc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由 AI 辅助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设备序列号与系统盘保护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把自然语言 SOP 草拟成工作流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命令白名单、权限、审批、超时和紧急停止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解释日志和生成工程摘要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真正执行刷写、格式化、Sanitize、供电和 Reset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给失败簇命名、提取相似特征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Pass/Fail 阈值、发布门禁和状态码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提出下一轮单变量验证或复现建议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原始证据采集、哈希和审计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生成 A/B 报告与缺陷草稿</w:t>
            </w:r>
          </w:p>
        </w:tc>
      </w:tr>
    </w:tbl>
    <w:p>
      <w:pPr>
        <w:widowControl/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FFF7E7"/>
            <w:tcBorders>
              <w:top w:sz="12" w:val="single" w:color="B88023"/>
              <w:left w:sz="30" w:val="single" w:color="B88023"/>
              <w:bottom w:sz="12" w:val="single" w:color="B88023"/>
              <w:right w:sz="12" w:val="single" w:color="B88023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B88023"/>
                <w:sz w:val="22"/>
              </w:rPr>
              <w:t>AI 原则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任何 AI 结论都必须包含证据引用、置信度和“尚不能排除”的替代解释。AI 不直接执行危险动作，也不替代工程师作最终根因和发布判断。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6.7 安全与私有化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默认部署在客户内网；固件、私有工具、日志和客户数据不上传公共云。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工作流模板需要版本化、审批和签名；运行时禁止临时拼接未审核的危险命令。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系统盘、非白名单序列号和生产盘默认禁止写入；破坏性动作需要双重确认或审批。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Secrets 与日志分离；刷写工具凭据、许可证和 API Token 使用专门密钥存储。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所有自动恢复和人工接管动作写入不可变审计日志。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模型调用可配置脱敏；客户要求时使用本地推理。</w:t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7. 硬件方案与演进路径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7.1 MVP：树莓派作为带外控制器，不作为高性能测试主机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树莓派的价值不是跑满高端 SSD，而是在测试主机完全失联时仍能独立判断在线状态、操作 Power/Reset、记录温度和恢复过程。I/O 与固件测试应优先在真实 x86 Windows/Linux 主机的原生 M.2/U.2 接口上运行。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757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组件</w:t>
            </w:r>
          </w:p>
        </w:tc>
        <w:tc>
          <w:tcPr>
            <w:tcW w:type="dxa" w:w="368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首版选择</w:t>
            </w:r>
          </w:p>
        </w:tc>
        <w:tc>
          <w:tcPr>
            <w:tcW w:type="dxa" w:w="4309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作用</w:t>
            </w:r>
          </w:p>
        </w:tc>
      </w:tr>
      <w:tr>
        <w:trPr>
          <w:cantSplit/>
        </w:trPr>
        <w:tc>
          <w:tcPr>
            <w:tcW w:type="dxa" w:w="175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测试主机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普通 x86 台式机或服务器，系统盘与 DUT 分离</w:t>
            </w:r>
          </w:p>
        </w:tc>
        <w:tc>
          <w:tcPr>
            <w:tcW w:type="dxa" w:w="430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运行客户原有工具、驱动和真实负载</w:t>
            </w:r>
          </w:p>
        </w:tc>
      </w:tr>
      <w:tr>
        <w:trPr>
          <w:cantSplit/>
        </w:trPr>
        <w:tc>
          <w:tcPr>
            <w:tcW w:type="dxa" w:w="175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带外控制器</w:t>
            </w:r>
          </w:p>
        </w:tc>
        <w:tc>
          <w:tcPr>
            <w:tcW w:type="dxa" w:w="368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Raspberry Pi 5、CM4 或工业 Linux 控制器</w:t>
            </w:r>
          </w:p>
        </w:tc>
        <w:tc>
          <w:tcPr>
            <w:tcW w:type="dxa" w:w="430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心跳、Power、Reset、AC、传感和画面</w:t>
            </w:r>
          </w:p>
        </w:tc>
      </w:tr>
      <w:tr>
        <w:trPr>
          <w:cantSplit/>
        </w:trPr>
        <w:tc>
          <w:tcPr>
            <w:tcW w:type="dxa" w:w="175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ATX 控制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光耦隔离的 Power/Reset 控制板</w:t>
            </w:r>
          </w:p>
        </w:tc>
        <w:tc>
          <w:tcPr>
            <w:tcW w:type="dxa" w:w="430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模拟按键，避免直接操作高风险供电轨</w:t>
            </w:r>
          </w:p>
        </w:tc>
      </w:tr>
      <w:tr>
        <w:trPr>
          <w:cantSplit/>
        </w:trPr>
        <w:tc>
          <w:tcPr>
            <w:tcW w:type="dxa" w:w="175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供电控制</w:t>
            </w:r>
          </w:p>
        </w:tc>
        <w:tc>
          <w:tcPr>
            <w:tcW w:type="dxa" w:w="368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首版先控制整机 AC；需要 DUT 精确掉电时接入成熟工具</w:t>
            </w:r>
          </w:p>
        </w:tc>
        <w:tc>
          <w:tcPr>
            <w:tcW w:type="dxa" w:w="430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避免首版陷入 M.2 供电时序和信号完整性</w:t>
            </w:r>
          </w:p>
        </w:tc>
      </w:tr>
      <w:tr>
        <w:trPr>
          <w:cantSplit/>
        </w:trPr>
        <w:tc>
          <w:tcPr>
            <w:tcW w:type="dxa" w:w="175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画面采集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USB HDMI 采集，可选串口</w:t>
            </w:r>
          </w:p>
        </w:tc>
        <w:tc>
          <w:tcPr>
            <w:tcW w:type="dxa" w:w="430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OS 未启动或蓝屏时仍能留证</w:t>
            </w:r>
          </w:p>
        </w:tc>
      </w:tr>
      <w:tr>
        <w:trPr>
          <w:cantSplit/>
        </w:trPr>
        <w:tc>
          <w:tcPr>
            <w:tcW w:type="dxa" w:w="175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传感器</w:t>
            </w:r>
          </w:p>
        </w:tc>
        <w:tc>
          <w:tcPr>
            <w:tcW w:type="dxa" w:w="368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温度为主，后续增加电流/电压</w:t>
            </w:r>
          </w:p>
        </w:tc>
        <w:tc>
          <w:tcPr>
            <w:tcW w:type="dxa" w:w="430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辅助判断热相关和供电相关异常</w:t>
            </w:r>
          </w:p>
        </w:tc>
      </w:tr>
      <w:tr>
        <w:trPr>
          <w:cantSplit/>
        </w:trPr>
        <w:tc>
          <w:tcPr>
            <w:tcW w:type="dxa" w:w="175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网络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控制面与带外控制器独立心跳</w:t>
            </w:r>
          </w:p>
        </w:tc>
        <w:tc>
          <w:tcPr>
            <w:tcW w:type="dxa" w:w="430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区分主机崩溃与网络故障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7.2 分级恢复策略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1.  Agent 仍在线：终止异常进程、清理资源、重新执行安全步骤。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2.  Agent 失联但操作系统可达：远程软重启或服务恢复。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3.  主机无响应：带外控制器短按 Reset，并监测重新上线。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4.  Reset 无效：执行整机 AC 电源循环，保存断电和恢复时间。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5.  多次恢复失败：进入安全停止，保留现场，禁止无限重启。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7.3 硬件演进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70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453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硬件投入</w:t>
            </w:r>
          </w:p>
        </w:tc>
        <w:tc>
          <w:tcPr>
            <w:tcW w:type="dxa" w:w="351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进入条件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H0 现成硬件 POC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测试主机 + 树莓派 + ATX 控制 + 温度 + 可选 HDMI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先证明完整闭环和人工减少</w:t>
            </w:r>
          </w:p>
        </w:tc>
      </w:tr>
      <w:tr>
        <w:trPr>
          <w:cantSplit/>
        </w:trPr>
        <w:tc>
          <w:tcPr>
            <w:tcW w:type="dxa" w:w="170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H1 工程样机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工业控制器、隔离 I/O、机箱、状态灯、看门狗、可靠供电</w:t>
            </w:r>
          </w:p>
        </w:tc>
        <w:tc>
          <w:tcPr>
            <w:tcW w:type="dxa" w:w="351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已有试点客户，需要长期无人值守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H2 第三方仪器集成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PSPA、Quarch、智能 PDU、温箱等适配器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客户确实需要 DUT 独立掉电和故障注入</w:t>
            </w:r>
          </w:p>
        </w:tc>
      </w:tr>
      <w:tr>
        <w:trPr>
          <w:cantSplit/>
        </w:trPr>
        <w:tc>
          <w:tcPr>
            <w:tcW w:type="dxa" w:w="170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H3 自研带外控制板</w:t>
            </w:r>
          </w:p>
        </w:tc>
        <w:tc>
          <w:tcPr>
            <w:tcW w:type="dxa" w:w="453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多路 Power/Reset、传感、串口、硬件看门狗、远程升级</w:t>
            </w:r>
          </w:p>
        </w:tc>
        <w:tc>
          <w:tcPr>
            <w:tcW w:type="dxa" w:w="351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多个客户有一致需求，外购成本或集成复杂度成为瓶颈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H4 专业 DUT 电源 / 夹层板</w:t>
            </w:r>
          </w:p>
        </w:tc>
        <w:tc>
          <w:tcPr>
            <w:tcW w:type="dxa" w:w="453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精确掉电、测量、旁带信号和保护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由硬件团队完成 SI/PI、电气安全和长期可靠性验证</w:t>
            </w:r>
          </w:p>
        </w:tc>
      </w:tr>
    </w:tbl>
    <w:p>
      <w:pPr>
        <w:widowControl/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FCEEEE"/>
            <w:tcBorders>
              <w:top w:sz="12" w:val="single" w:color="B74B4B"/>
              <w:left w:sz="30" w:val="single" w:color="B74B4B"/>
              <w:bottom w:sz="12" w:val="single" w:color="B74B4B"/>
              <w:right w:sz="12" w:val="single" w:color="B74B4B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B74B4B"/>
                <w:sz w:val="22"/>
              </w:rPr>
              <w:t>硬件边界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第一版不要直接切断 M.2 3.3V，也不要自研 Gen5/Gen6 高速转接背板。专业厂商已经提供可软件控制的 DUT 供电、功耗测量、Reset、HotPlug 和故障注入能力；先适配，后自研。[3][5][6][8]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8. 竞品分析与竞争策略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8.1 市场现状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截至 2026 年 7 月，主流存储验证厂商继续向更高 PCIe 代际、更多 DUT、协议合规、功耗测量、供电控制和故障注入扩展。OakGate 与 SANBlaze 已公开面向 PCIe 6.0 的产品路线，说明新团队若从高速验证硬件正面进入，将面对成熟技术积累与持续代际升级。[13][14]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另一方面，ULINK、SANBlaze、Quarch 和 PyNVMe3 都提供不同程度的自动化或 API 能力，不能把差异化建立在“竞品不会自动化”上。真正可建立的新定位是：跨工具编排、测试主机自救、证据闭环、失败去重与复现，以及对企业真实 SOP 的快速适配。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8.2 主要竞品画像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</w:trPr>
        <w:tc>
          <w:tcPr>
            <w:tcW w:type="dxa" w:w="170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竞品</w:t>
            </w:r>
          </w:p>
        </w:tc>
        <w:tc>
          <w:tcPr>
            <w:tcW w:type="dxa" w:w="351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公开定位与能力</w:t>
            </w:r>
          </w:p>
        </w:tc>
        <w:tc>
          <w:tcPr>
            <w:tcW w:type="dxa" w:w="215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强项</w:t>
            </w:r>
          </w:p>
        </w:tc>
        <w:tc>
          <w:tcPr>
            <w:tcW w:type="dxa" w:w="238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5"/>
              </w:rPr>
              <w:t>本项目的策略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ULINK DriveMaster + NVMe Suites + PSPA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Windows 上的 NVMe 命令、协议、回归与数据完整性测试；回归套件覆盖多种电源循环、数据比较和 JEDEC 工作负载；PSPA 支持软件控制 DUT 供电与测量。[1][2][3]</w:t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测试内容成熟，协议/命令控制和电源循环结合紧密</w:t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不重写套件；做上层版本流转、任务调度、主机恢复、跨工具证据和缺陷闭环</w:t>
            </w:r>
          </w:p>
        </w:tc>
      </w:tr>
      <w:tr>
        <w:trPr>
          <w:cantSplit/>
        </w:trPr>
        <w:tc>
          <w:tcPr>
            <w:tcW w:type="dxa" w:w="170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Teledyne LeCroy OakGate</w:t>
            </w:r>
          </w:p>
        </w:tc>
        <w:tc>
          <w:tcPr>
            <w:tcW w:type="dxa" w:w="351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专有 SVF 软件与桌面/机架设备组合，支持主流存储协议，可扩展多个 DUT，面向中大型测试团队。[4]</w:t>
            </w:r>
          </w:p>
        </w:tc>
        <w:tc>
          <w:tcPr>
            <w:tcW w:type="dxa" w:w="215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成熟、稳定、规模化、底层验证能力强</w:t>
            </w:r>
          </w:p>
        </w:tc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把 OakGate 视为高价值执行器；产品在其上方统一编排实验室流程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SANBlaze SBExpress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Turnkey NVMe 验证系统；RM5 为 16 盘位 Gen5 机架设备，支持供电、功耗和错误注入；桌面系统提供 Python、REST、CLI/XML，公开资料称有 900+ 内置测试。[5][6]</w:t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协议、合规、硬件控制、API 和多盘位一体化</w:t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不比测试数量；比人工介入、异常自救、证据完整性和跨平台复现</w:t>
            </w:r>
          </w:p>
        </w:tc>
      </w:tr>
      <w:tr>
        <w:trPr>
          <w:cantSplit/>
        </w:trPr>
        <w:tc>
          <w:tcPr>
            <w:tcW w:type="dxa" w:w="170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Quarch</w:t>
            </w:r>
          </w:p>
        </w:tc>
        <w:tc>
          <w:tcPr>
            <w:tcW w:type="dxa" w:w="351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聚焦功耗、供电循环、HotPlug、旁带和物理层故障注入，提供 Python/REST 等自动化接口，并可与 PyNVMe 等集成。[7][8]</w:t>
            </w:r>
          </w:p>
        </w:tc>
        <w:tc>
          <w:tcPr>
            <w:tcW w:type="dxa" w:w="215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电源与物理故障注入专业、模块化</w:t>
            </w:r>
          </w:p>
        </w:tc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作为硬件连接器；不先自研精密供电与信号故障注入</w:t>
            </w:r>
          </w:p>
        </w:tc>
      </w:tr>
      <w:tr>
        <w:trPr>
          <w:cantSplit/>
        </w:trPr>
        <w:tc>
          <w:tcPr>
            <w:tcW w:type="dxa" w:w="170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PyNVMe3</w:t>
            </w:r>
          </w:p>
        </w:tc>
        <w:tc>
          <w:tcPr>
            <w:tcW w:type="dxa" w:w="351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Python + 专用用户态 NVMe 驱动，可在通用 x86/Ubuntu 平台运行，适合脚本化与 CI，降低专用硬件门槛。[9][10]</w:t>
            </w:r>
          </w:p>
        </w:tc>
        <w:tc>
          <w:tcPr>
            <w:tcW w:type="dxa" w:w="215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灵活、低成本、开发者友好、易于定制</w:t>
            </w:r>
          </w:p>
        </w:tc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作为首批默认执行器之一；补齐带外自救、资产、安全、证据和报告</w:t>
            </w:r>
          </w:p>
        </w:tc>
      </w:tr>
      <w:tr>
        <w:trPr>
          <w:cantSplit/>
        </w:trPr>
        <w:tc>
          <w:tcPr>
            <w:tcW w:type="dxa" w:w="170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企业自研脚本 / Jenkins 类流水线</w:t>
            </w:r>
          </w:p>
        </w:tc>
        <w:tc>
          <w:tcPr>
            <w:tcW w:type="dxa" w:w="351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自由组合 Python、Shell、PowerShell、fio 和私有工具</w:t>
            </w:r>
          </w:p>
        </w:tc>
        <w:tc>
          <w:tcPr>
            <w:tcW w:type="dxa" w:w="215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最贴合内部需求，已有沉没成本</w:t>
            </w:r>
          </w:p>
        </w:tc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5"/>
              </w:rPr>
              <w:t>真正的隐形竞品；必须做到接入而非替换，并明显降低维护和值守成本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8.3 能力重心对比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2438"/>
        <w:gridCol w:w="2438"/>
        <w:gridCol w:w="2438"/>
      </w:tblGrid>
      <w:tr>
        <w:trPr>
          <w:tblHeader w:val="true"/>
          <w:cantSplit/>
        </w:trPr>
        <w:tc>
          <w:tcPr>
            <w:tcW w:type="dxa" w:w="226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能力维度</w:t>
            </w:r>
          </w:p>
        </w:tc>
        <w:tc>
          <w:tcPr>
            <w:tcW w:type="dxa" w:w="249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专业测试平台</w:t>
            </w:r>
          </w:p>
        </w:tc>
        <w:tc>
          <w:tcPr>
            <w:tcW w:type="dxa" w:w="249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自研脚本 / CI</w:t>
            </w:r>
          </w:p>
        </w:tc>
        <w:tc>
          <w:tcPr>
            <w:tcW w:type="dxa" w:w="249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Regression Worker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协议与底层测试覆盖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强，通常是核心卖点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取决于团队积累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不作为首版核心；调用外部能力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供电 / Reset / 故障注入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成熟平台可很强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需要自接硬件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统一适配，并提供带外恢复策略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企业私有 SOP 适配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可定制，但取决于平台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强，但维护分散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以工作流与插件为核心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主机完全卡死后的自救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部分平台具备设备级控制；跨主机流程各异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常需人工处理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产品级主打能力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跨工具证据时间线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通常围绕自身工具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多目录、多格式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统一 Evidence Bundle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基础设施与 DUT 故障区分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依赖具体平台和脚本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容易混杂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统一状态模型和分类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失败去重与最短复现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通常需工程师完成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依赖内部开发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核心增值能力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报告 / 缺陷闭环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有报告，但跨工具整合有限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人工拼接常见</w:t>
            </w:r>
          </w:p>
        </w:tc>
        <w:tc>
          <w:tcPr>
            <w:tcW w:type="dxa" w:w="249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测试结束即生成可提单结果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采购与替换阻力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可能较高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最低</w:t>
            </w:r>
          </w:p>
        </w:tc>
        <w:tc>
          <w:tcPr>
            <w:tcW w:type="dxa" w:w="249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叠加在现有资产上，降低迁移阻力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8.4 如何真正脱颖而出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1. 指标不同：</w:t>
      </w:r>
      <w:r>
        <w:rPr>
          <w:rFonts w:ascii="Noto Sans CJK SC" w:hAnsi="Noto Sans CJK SC" w:eastAsia="Noto Sans CJK SC"/>
          <w:i w:val="0"/>
          <w:color w:val="1D2730"/>
          <w:sz w:val="21"/>
        </w:rPr>
        <w:t>竞品常用协议覆盖、测试数量、带宽、盘位和测量精度证明能力；你们用“每周节省多少人工介入、多少失败能够自动形成证据”证明价值。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2. 中立连接层：</w:t>
      </w:r>
      <w:r>
        <w:rPr>
          <w:rFonts w:ascii="Noto Sans CJK SC" w:hAnsi="Noto Sans CJK SC" w:eastAsia="Noto Sans CJK SC"/>
          <w:i w:val="0"/>
          <w:color w:val="1D2730"/>
          <w:sz w:val="21"/>
        </w:rPr>
        <w:t>支持竞品和客户自研工具，把已有投入变成插件。客户无需在迁移前先否定过去的系统。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3. 主机级自救：</w:t>
      </w:r>
      <w:r>
        <w:rPr>
          <w:rFonts w:ascii="Noto Sans CJK SC" w:hAnsi="Noto Sans CJK SC" w:eastAsia="Noto Sans CJK SC"/>
          <w:i w:val="0"/>
          <w:color w:val="1D2730"/>
          <w:sz w:val="21"/>
        </w:rPr>
        <w:t>很多存储工具能控制 DUT，但客户真正痛苦的是测试主机、操作系统、Agent 和网络异常后没人处理。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4. Evidence First：</w:t>
      </w:r>
      <w:r>
        <w:rPr>
          <w:rFonts w:ascii="Noto Sans CJK SC" w:hAnsi="Noto Sans CJK SC" w:eastAsia="Noto Sans CJK SC"/>
          <w:i w:val="0"/>
          <w:color w:val="1D2730"/>
          <w:sz w:val="21"/>
        </w:rPr>
        <w:t>把“失败结果”变成可转交、可复现、可审计的工程资产。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5. Failure Intelligence：</w:t>
      </w:r>
      <w:r>
        <w:rPr>
          <w:rFonts w:ascii="Noto Sans CJK SC" w:hAnsi="Noto Sans CJK SC" w:eastAsia="Noto Sans CJK SC"/>
          <w:i w:val="0"/>
          <w:color w:val="1D2730"/>
          <w:sz w:val="21"/>
        </w:rPr>
        <w:t>基于结构化状态和真实证据做去重、版本关联、单变量复现和历史问题检索。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b/>
          <w:color w:val="1D2730"/>
          <w:sz w:val="21"/>
        </w:rPr>
        <w:t>6. SOP 产品化：</w:t>
      </w:r>
      <w:r>
        <w:rPr>
          <w:rFonts w:ascii="Noto Sans CJK SC" w:hAnsi="Noto Sans CJK SC" w:eastAsia="Noto Sans CJK SC"/>
          <w:i w:val="0"/>
          <w:color w:val="1D2730"/>
          <w:sz w:val="21"/>
        </w:rPr>
        <w:t>每接入一套真实 SOP，就形成可复用模板、连接器和行业知识，而不是一次性外包脚本。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8.5 竞争风险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26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风险</w:t>
            </w:r>
          </w:p>
        </w:tc>
        <w:tc>
          <w:tcPr>
            <w:tcW w:type="dxa" w:w="340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判断</w:t>
            </w:r>
          </w:p>
        </w:tc>
        <w:tc>
          <w:tcPr>
            <w:tcW w:type="dxa" w:w="408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应对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成熟厂商增加 AI、报告或调度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很可能发生，不能依赖单一功能领先</w:t>
            </w:r>
          </w:p>
        </w:tc>
        <w:tc>
          <w:tcPr>
            <w:tcW w:type="dxa" w:w="408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保持跨厂商中立、做连接器广度和真实 SOP 数据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客户选择自研</w:t>
            </w:r>
          </w:p>
        </w:tc>
        <w:tc>
          <w:tcPr>
            <w:tcW w:type="dxa" w:w="340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这是最常见替代方案</w:t>
            </w:r>
          </w:p>
        </w:tc>
        <w:tc>
          <w:tcPr>
            <w:tcW w:type="dxa" w:w="408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以更快上线、带外硬件、证据标准和长期维护降低自研吸引力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被认为只是“套壳 Jenkins”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如果只做任务调度，确实会发生</w:t>
            </w:r>
          </w:p>
        </w:tc>
        <w:tc>
          <w:tcPr>
            <w:tcW w:type="dxa" w:w="408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必须把 OOB 自救、DUT 安全、证据包、失败指纹和复现做深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客户不愿开放私有工具和日志</w:t>
            </w:r>
          </w:p>
        </w:tc>
        <w:tc>
          <w:tcPr>
            <w:tcW w:type="dxa" w:w="340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存储行业数据敏感</w:t>
            </w:r>
          </w:p>
        </w:tc>
        <w:tc>
          <w:tcPr>
            <w:tcW w:type="dxa" w:w="408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内网部署、最小权限、适配器边界、脱敏和可审计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不同客户 SOP 差异过大</w:t>
            </w:r>
          </w:p>
        </w:tc>
        <w:tc>
          <w:tcPr>
            <w:tcW w:type="dxa" w:w="340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可能沦为项目制外包</w:t>
            </w:r>
          </w:p>
        </w:tc>
        <w:tc>
          <w:tcPr>
            <w:tcW w:type="dxa" w:w="408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核心模型标准化，连接器和模板参数化，严格控制定制边界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9. 差异化、护城河与品牌表达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9.1 可持续护城河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18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护城河</w:t>
            </w:r>
          </w:p>
        </w:tc>
        <w:tc>
          <w:tcPr>
            <w:tcW w:type="dxa" w:w="3969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形成方式</w:t>
            </w:r>
          </w:p>
        </w:tc>
        <w:tc>
          <w:tcPr>
            <w:tcW w:type="dxa" w:w="3912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为什么不容易复制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连接器网络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对专业平台、私有 CLI、操作系统和硬件控制器持续适配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单个连接器不难，但长期兼容和组合测试成本高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标准证据模型</w:t>
            </w:r>
          </w:p>
        </w:tc>
        <w:tc>
          <w:tcPr>
            <w:tcW w:type="dxa" w:w="396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把主机、DUT、工具、画面、供电和恢复放入统一时间线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需要深刻理解真实故障流程和客户材料要求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失败指纹库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跨固件、环境、步骤和日志生成稳定签名与聚类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数据来自长期真实回归，不能靠一次模型训练获得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SOP 模板资产</w:t>
            </w:r>
          </w:p>
        </w:tc>
        <w:tc>
          <w:tcPr>
            <w:tcW w:type="dxa" w:w="396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将客户流程抽象为可复用工作流、参数和门禁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越贴近行业，交付越快，客户切换成本越高</w:t>
            </w:r>
          </w:p>
        </w:tc>
      </w:tr>
      <w:tr>
        <w:trPr>
          <w:cantSplit/>
        </w:trPr>
        <w:tc>
          <w:tcPr>
            <w:tcW w:type="dxa" w:w="18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带外控制经验</w:t>
            </w:r>
          </w:p>
        </w:tc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主机状态识别、分级恢复、避免死循环和安全停止</w:t>
            </w:r>
          </w:p>
        </w:tc>
        <w:tc>
          <w:tcPr>
            <w:tcW w:type="dxa" w:w="3912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软硬件结合，需要大量异常场景验证</w:t>
            </w:r>
          </w:p>
        </w:tc>
      </w:tr>
      <w:tr>
        <w:trPr>
          <w:cantSplit/>
        </w:trPr>
        <w:tc>
          <w:tcPr>
            <w:tcW w:type="dxa" w:w="18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可信度与审计</w:t>
            </w:r>
          </w:p>
        </w:tc>
        <w:tc>
          <w:tcPr>
            <w:tcW w:type="dxa" w:w="396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零误盘、证据完整、可回溯、私有化</w:t>
            </w:r>
          </w:p>
        </w:tc>
        <w:tc>
          <w:tcPr>
            <w:tcW w:type="dxa" w:w="3912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存储验证的信任来自长期稳定运行，不只是界面和模型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9.2 数据飞轮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更多真实工作流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更多结构化运行与失败证据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更稳定的失败指纹和恢复策略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更快的 SOP 接入与更少误报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更高无人值守完成率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→ 客户愿意接入更多工位和工具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数据飞轮不能依赖上传客户原始敏感数据。产品应支持在客户本地训练/统计，中心仅同步脱敏的规则、连接器版本和通用失败模式；是否共享由客户明确授权。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9.3 品牌与销售语言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建议强调</w:t>
            </w:r>
          </w:p>
        </w:tc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避免强调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存储实验室数字执行员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万能 AI 存储专家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无人值守完成率和释放工时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测试脚本数量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异常自救和证据闭环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简单任务调度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不替换现有工具，快速叠加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颠覆所有测试平台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工程师保留最终判断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替代验证工程师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私有化、安全、可审计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把所有日志上传云端训练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10. 产品路线与未来规划</w:t>
      </w:r>
    </w:p>
    <w:p>
      <w:pPr>
        <w:widowControl/>
      </w:pPr>
      <w:r>
        <w:drawing>
          <wp:inline xmlns:a="http://schemas.openxmlformats.org/drawingml/2006/main" xmlns:pic="http://schemas.openxmlformats.org/drawingml/2006/picture">
            <wp:extent cx="6192000" cy="2614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admap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614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120"/>
        <w:jc w:val="center"/>
      </w:pPr>
      <w:r>
        <w:rPr>
          <w:rFonts w:ascii="Noto Sans CJK SC" w:hAnsi="Noto Sans CJK SC" w:eastAsia="Noto Sans CJK SC"/>
          <w:i/>
          <w:color w:val="637381"/>
          <w:sz w:val="17"/>
        </w:rPr>
        <w:t>图 3｜路线以里程碑和验收门槛推进，而不是先搭建“大而全”平台。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10.1 阶段 A：单工位 POC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交付</w:t>
            </w:r>
          </w:p>
        </w:tc>
        <w:tc>
          <w:tcPr>
            <w:tcW w:type="dxa" w:w="4876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进入下一阶段的门槛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一台测试主机、一块允许破坏性测试的 SSD、两个固件版本、一套 SOP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完整跑通 A/B 工作流，所有动作可追溯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Agent、基础工作流、树莓派 Power/Reset、日志和报告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模拟主机失联后能自动恢复</w:t>
            </w:r>
          </w:p>
        </w:tc>
      </w:tr>
      <w:tr>
        <w:trPr>
          <w:cantSplit/>
        </w:trPr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设备身份、安全白名单、Evidence Bundle</w:t>
            </w:r>
          </w:p>
        </w:tc>
        <w:tc>
          <w:tcPr>
            <w:tcW w:type="dxa" w:w="4876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误盘为 0；失败证据不因主机崩溃丢失</w:t>
            </w:r>
          </w:p>
        </w:tc>
      </w:tr>
      <w:tr>
        <w:trPr>
          <w:cantSplit/>
        </w:trPr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人工流程对照测量</w:t>
            </w:r>
          </w:p>
        </w:tc>
        <w:tc>
          <w:tcPr>
            <w:tcW w:type="dxa" w:w="4876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明确减少了哪些步骤和工时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10.2 阶段 B：试点版 Regression Worker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接入客户真实刷写工具、私有日志工具和一到两套回归 SOP。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增加角色权限、模板审批、审计、报告版本和缺陷系统接口。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完善 Windows / Linux 主机故障识别与分级恢复。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建立基础失败指纹、任务对比和工位利用率指标。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形成可重复安装、升级和远程诊断的私有化部署包。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10.3 阶段 C：多工位 Storage LabOS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统一资源预约、任务队列、优先级、并发和维护窗口。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主机、DUT、固件、工具和许可证资产管理。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跨工位失败聚类、历史版本关联和实验室健康看板。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连接器 SDK 与客户自助适配框架。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支持接入 OakGate、SANBlaze、Quarch、DriveMaster 等现有资产。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10.4 阶段 D：兼容性循环测试柜（方向 4）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在单工位工作流、自救、证据和调度成熟后，增加多主板、多 BIOS、OS、驱动和电源状态矩阵。此时方向 4 不再是一个新项目，而是同一 LabOS 的新资源类型与测试模板。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独立测试节点与带外控制，避免首版设计高速 PCIe 共享背板。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系统镜像恢复、驱动安装、启动前画面采集和兼容性环境指纹。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Pairwise / 风险加权等组合缩减，避免矩阵全排列。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输出固件与主板/BIOS/驱动的兼容性图谱、白名单和最小复现组合。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10.5 阶段 E：相邻产品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26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产品模块</w:t>
            </w:r>
          </w:p>
        </w:tc>
        <w:tc>
          <w:tcPr>
            <w:tcW w:type="dxa" w:w="368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复用能力</w:t>
            </w:r>
          </w:p>
        </w:tc>
        <w:tc>
          <w:tcPr>
            <w:tcW w:type="dxa" w:w="379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新增能力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RMA 返修盘初检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资产、工作流、日志、证据、报告</w:t>
            </w:r>
          </w:p>
        </w:tc>
        <w:tc>
          <w:tcPr>
            <w:tcW w:type="dxa" w:w="379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返修登记、标准复现、初步分流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来料质检工位</w:t>
            </w:r>
          </w:p>
        </w:tc>
        <w:tc>
          <w:tcPr>
            <w:tcW w:type="dxa" w:w="368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多工位调度、设备身份、报告</w:t>
            </w:r>
          </w:p>
        </w:tc>
        <w:tc>
          <w:tcPr>
            <w:tcW w:type="dxa" w:w="379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批量扫码、批次基线、标签/系统接口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工业存储黑匣子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Agent、事件时间线、异常模型</w:t>
            </w:r>
          </w:p>
        </w:tc>
        <w:tc>
          <w:tcPr>
            <w:tcW w:type="dxa" w:w="379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现场长期采集、边缘缓存、远程回传</w:t>
            </w:r>
          </w:p>
        </w:tc>
      </w:tr>
      <w:tr>
        <w:trPr>
          <w:cantSplit/>
        </w:trPr>
        <w:tc>
          <w:tcPr>
            <w:tcW w:type="dxa" w:w="226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精确掉电与故障注入</w:t>
            </w:r>
          </w:p>
        </w:tc>
        <w:tc>
          <w:tcPr>
            <w:tcW w:type="dxa" w:w="368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带外控制、工作流、证据</w:t>
            </w:r>
          </w:p>
        </w:tc>
        <w:tc>
          <w:tcPr>
            <w:tcW w:type="dxa" w:w="379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自研电源/信号板或深度仪器集成</w:t>
            </w:r>
          </w:p>
        </w:tc>
      </w:tr>
      <w:tr>
        <w:trPr>
          <w:cantSplit/>
        </w:trPr>
        <w:tc>
          <w:tcPr>
            <w:tcW w:type="dxa" w:w="226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实验室运营分析</w:t>
            </w:r>
          </w:p>
        </w:tc>
        <w:tc>
          <w:tcPr>
            <w:tcW w:type="dxa" w:w="368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任务、工位、介入、失败数据</w:t>
            </w:r>
          </w:p>
        </w:tc>
        <w:tc>
          <w:tcPr>
            <w:tcW w:type="dxa" w:w="379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容量规划、利用率和质量趋势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10.6 关键决策门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835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决策门</w:t>
            </w:r>
          </w:p>
        </w:tc>
        <w:tc>
          <w:tcPr>
            <w:tcW w:type="dxa" w:w="6917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继续投入的必要证据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从 POC 到试点</w:t>
            </w:r>
          </w:p>
        </w:tc>
        <w:tc>
          <w:tcPr>
            <w:tcW w:type="dxa" w:w="69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真实 SOP 下显著减少人工介入；至少一次异常被自动恢复并形成可用证据</w:t>
            </w:r>
          </w:p>
        </w:tc>
      </w:tr>
      <w:tr>
        <w:trPr>
          <w:cantSplit/>
        </w:trPr>
        <w:tc>
          <w:tcPr>
            <w:tcW w:type="dxa" w:w="283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从试点到产品化</w:t>
            </w:r>
          </w:p>
        </w:tc>
        <w:tc>
          <w:tcPr>
            <w:tcW w:type="dxa" w:w="691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客户愿意持续使用并提供第二套 SOP；部署、升级和安全问题可控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从单工位到多工位</w:t>
            </w:r>
          </w:p>
        </w:tc>
        <w:tc>
          <w:tcPr>
            <w:tcW w:type="dxa" w:w="69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客户有明确工位规模和调度痛点，而非为了平台化而平台化</w:t>
            </w:r>
          </w:p>
        </w:tc>
      </w:tr>
      <w:tr>
        <w:trPr>
          <w:cantSplit/>
        </w:trPr>
        <w:tc>
          <w:tcPr>
            <w:tcW w:type="dxa" w:w="2835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从外购硬件到自研控制板</w:t>
            </w:r>
          </w:p>
        </w:tc>
        <w:tc>
          <w:tcPr>
            <w:tcW w:type="dxa" w:w="6917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三个以上客户出现重复硬件需求，且外购成本/集成限制影响销售</w:t>
            </w:r>
          </w:p>
        </w:tc>
      </w:tr>
      <w:tr>
        <w:trPr>
          <w:cantSplit/>
        </w:trPr>
        <w:tc>
          <w:tcPr>
            <w:tcW w:type="dxa" w:w="2835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进入兼容性测试柜</w:t>
            </w:r>
          </w:p>
        </w:tc>
        <w:tc>
          <w:tcPr>
            <w:tcW w:type="dxa" w:w="6917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单工位底座稳定，且有主板/BIOS/OS 矩阵的真实付费需求</w:t>
            </w:r>
          </w:p>
        </w:tc>
      </w:tr>
    </w:tbl>
    <w:p>
      <w:pPr>
        <w:widowControl/>
        <w:spacing w:after="40"/>
      </w:pP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11. 商业化与首批客户策略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11.1 最适合的首批客户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3969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客户特征</w:t>
            </w:r>
          </w:p>
        </w:tc>
        <w:tc>
          <w:tcPr>
            <w:tcW w:type="dxa" w:w="5783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为什么适合</w:t>
            </w:r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中型 SSD、主控、模组或工业存储团队</w:t>
            </w:r>
          </w:p>
        </w:tc>
        <w:tc>
          <w:tcPr>
            <w:tcW w:type="dxa" w:w="578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有真实测试压力，但未必已有完整内部 LabOS</w:t>
            </w:r>
          </w:p>
        </w:tc>
      </w:tr>
      <w:tr>
        <w:trPr>
          <w:cantSplit/>
        </w:trPr>
        <w:tc>
          <w:tcPr>
            <w:tcW w:type="dxa" w:w="396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拥有 5-50 个测试工位或大量零散脚本</w:t>
            </w:r>
          </w:p>
        </w:tc>
        <w:tc>
          <w:tcPr>
            <w:tcW w:type="dxa" w:w="5783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人工值守和维护成本明显，能量化 ROI</w:t>
            </w:r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至少有一套固定且高频的固件回归 SOP</w:t>
            </w:r>
          </w:p>
        </w:tc>
        <w:tc>
          <w:tcPr>
            <w:tcW w:type="dxa" w:w="578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容易形成第一条闭环，而不是开放式咨询</w:t>
            </w:r>
          </w:p>
        </w:tc>
      </w:tr>
      <w:tr>
        <w:trPr>
          <w:cantSplit/>
        </w:trPr>
        <w:tc>
          <w:tcPr>
            <w:tcW w:type="dxa" w:w="396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愿意提供脱敏报告、正常/异常样品和工程师接口</w:t>
            </w:r>
          </w:p>
        </w:tc>
        <w:tc>
          <w:tcPr>
            <w:tcW w:type="dxa" w:w="5783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能验证产品是否真正解决问题</w:t>
            </w:r>
          </w:p>
        </w:tc>
      </w:tr>
      <w:tr>
        <w:trPr>
          <w:cantSplit/>
        </w:trPr>
        <w:tc>
          <w:tcPr>
            <w:tcW w:type="dxa" w:w="396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需要私有化部署和现有工具接入</w:t>
            </w:r>
          </w:p>
        </w:tc>
        <w:tc>
          <w:tcPr>
            <w:tcW w:type="dxa" w:w="578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恰好匹配中立控制层定位</w:t>
            </w:r>
          </w:p>
        </w:tc>
      </w:tr>
    </w:tbl>
    <w:p>
      <w:pPr>
        <w:widowControl/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FFF7E7"/>
            <w:tcBorders>
              <w:top w:sz="12" w:val="single" w:color="B88023"/>
              <w:left w:sz="30" w:val="single" w:color="B88023"/>
              <w:bottom w:sz="12" w:val="single" w:color="B88023"/>
              <w:right w:sz="12" w:val="single" w:color="B88023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B88023"/>
                <w:sz w:val="22"/>
              </w:rPr>
              <w:t>首批客户选择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暂不优先挑战已经拥有成熟自研 SLT / LabOS 的头部厂商。先找“已有测试能力，但流程碎片化、夜间仍要人守”的团队。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11.2 POC 交付包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一份真实 SOP 的结构化工作流和风险清单。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一台测试主机 Agent 与一套树莓派带外控制。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客户私有刷写工具、I/O 工具和日志工具连接器。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固件 A/B 循环任务、异常自救和 Evidence Bundle。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版本对比报告、人工步骤对照和 ROI 结果。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下一阶段产品化边界与报价依据。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11.3 商业模式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38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收入项</w:t>
            </w:r>
          </w:p>
        </w:tc>
        <w:tc>
          <w:tcPr>
            <w:tcW w:type="dxa" w:w="73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POC / 集成服务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围绕一套 SOP 和一个工位完成连接器、流程和现场验证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软件许可 / 订阅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按工位、并发任务或实验室规模授权，私有化部署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带外控制硬件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标准控制盒、机箱、传感和可选画面采集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高级连接器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专业测试平台、仪器、缺陷系统和私有工具适配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维护与升级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连接器兼容、系统升级、安全补丁和远程支持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后续模块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兼容性柜、RMA、来料质检、运营分析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11.4 ROI 计算方式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每月可节省成本 ≈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（原每次人工操作分钟 × 每月任务次数 × 工程师综合小时成本）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+ 夜间 / 周末值守成本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+ 因失败证据不足导致的重复复现时间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+ 测试机空转和等待人工恢复的机会成本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- 软件与硬件的月度摊销成本</w:t>
            </w:r>
          </w:p>
        </w:tc>
      </w:tr>
    </w:tbl>
    <w:p>
      <w:pPr>
        <w:widowControl/>
        <w:spacing w:after="20"/>
      </w:pP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销售时不要只展示“技术很强”，而要对照客户原 SOP 逐步标注哪些动作被删除、哪些异常不再需要人到场、报告提前了多久。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11.5 POC 访谈问题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哪一套测试每周重复最多，步骤最固定，最需要人守？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测试主机最常见的中断原因是什么：蓝屏、掉盘、脚本、网络、供电还是环境？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失败后工程师必须收集哪些证据才能建缺陷单？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现有工具有哪些 CLI、API 或可调用入口？哪些只能操作 GUI？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哪些动作可能破坏数据或刷错盘？现有审批与白名单是什么？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一名工程师每周花多少时间在执行、值守、重跑和整理报告上？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哪些问题由于证据不足经常被标记为“未复现”？</w:t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12. 团队分工、风险与立项动作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12.1 初始团队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38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角色</w:t>
            </w:r>
          </w:p>
        </w:tc>
        <w:tc>
          <w:tcPr>
            <w:tcW w:type="dxa" w:w="73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主要职责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你：产品 / 全栈 / AI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产品定义、控制台、工作流、数据模型、AI 报告、交付体验和项目推进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同学：存储领域 / 客户 / 资金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真实 SOP、测试样品、固件/日志解释、行业关系、首批客户和资源投入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验证工程师（必须）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把真实流程拆成可执行步骤、定义门禁、验收状态和异常分类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嵌入式 / 硬件工程师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带外控制、隔离、可靠供电、看门狗、机箱与后续自研板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后续平台工程师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Agent 稳定性、部署、升级、对象存储、权限和多工位调度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12.2 主要风险清单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51"/>
        <w:gridCol w:w="3251"/>
        <w:gridCol w:w="3251"/>
      </w:tblGrid>
      <w:tr>
        <w:trPr>
          <w:tblHeader w:val="true"/>
          <w:cantSplit/>
        </w:trPr>
        <w:tc>
          <w:tcPr>
            <w:tcW w:type="dxa" w:w="2324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风险</w:t>
            </w:r>
          </w:p>
        </w:tc>
        <w:tc>
          <w:tcPr>
            <w:tcW w:type="dxa" w:w="2948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影响</w:t>
            </w:r>
          </w:p>
        </w:tc>
        <w:tc>
          <w:tcPr>
            <w:tcW w:type="dxa" w:w="4479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7"/>
              </w:rPr>
              <w:t>缓解措施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没有真实 SOP，只按想象开发</w:t>
            </w:r>
          </w:p>
        </w:tc>
        <w:tc>
          <w:tcPr>
            <w:tcW w:type="dxa" w:w="294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做出漂亮但没人使用的通用平台</w:t>
            </w:r>
          </w:p>
        </w:tc>
        <w:tc>
          <w:tcPr>
            <w:tcW w:type="dxa" w:w="44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第一条工作流必须来自同学公司或真实客户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试图一次支持所有工具和接口</w:t>
            </w:r>
          </w:p>
        </w:tc>
        <w:tc>
          <w:tcPr>
            <w:tcW w:type="dxa" w:w="294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项目失控、无法验收</w:t>
            </w:r>
          </w:p>
        </w:tc>
        <w:tc>
          <w:tcPr>
            <w:tcW w:type="dxa" w:w="447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先锁定一个 OS、一个 SSD 类型、一套工具链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只做网页调度，没有异常自救</w:t>
            </w:r>
          </w:p>
        </w:tc>
        <w:tc>
          <w:tcPr>
            <w:tcW w:type="dxa" w:w="294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容易被视为脚本平台或 Jenkins 套壳</w:t>
            </w:r>
          </w:p>
        </w:tc>
        <w:tc>
          <w:tcPr>
            <w:tcW w:type="dxa" w:w="44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带外控制、状态机和证据闭环必须进入 MVP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AI 结论过度承诺</w:t>
            </w:r>
          </w:p>
        </w:tc>
        <w:tc>
          <w:tcPr>
            <w:tcW w:type="dxa" w:w="294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降低工程师信任并带来错误决策</w:t>
            </w:r>
          </w:p>
        </w:tc>
        <w:tc>
          <w:tcPr>
            <w:tcW w:type="dxa" w:w="447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证据引用、置信度、规则优先、人工确认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硬件故障导致误判或损坏 DUT</w:t>
            </w:r>
          </w:p>
        </w:tc>
        <w:tc>
          <w:tcPr>
            <w:tcW w:type="dxa" w:w="294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安全和品牌风险</w:t>
            </w:r>
          </w:p>
        </w:tc>
        <w:tc>
          <w:tcPr>
            <w:tcW w:type="dxa" w:w="44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隔离、保险、白名单、紧急停止和硬件评审</w:t>
            </w:r>
          </w:p>
        </w:tc>
      </w:tr>
      <w:tr>
        <w:trPr>
          <w:cantSplit/>
        </w:trPr>
        <w:tc>
          <w:tcPr>
            <w:tcW w:type="dxa" w:w="2324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客户定制过多</w:t>
            </w:r>
          </w:p>
        </w:tc>
        <w:tc>
          <w:tcPr>
            <w:tcW w:type="dxa" w:w="2948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变成低毛利项目制</w:t>
            </w:r>
          </w:p>
        </w:tc>
        <w:tc>
          <w:tcPr>
            <w:tcW w:type="dxa" w:w="4479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插件 SDK、标准模型、可配置模板、定制边界</w:t>
            </w:r>
          </w:p>
        </w:tc>
      </w:tr>
      <w:tr>
        <w:trPr>
          <w:cantSplit/>
        </w:trPr>
        <w:tc>
          <w:tcPr>
            <w:tcW w:type="dxa" w:w="2324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无法证明节省人工</w:t>
            </w:r>
          </w:p>
        </w:tc>
        <w:tc>
          <w:tcPr>
            <w:tcW w:type="dxa" w:w="2948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购买理由不充分</w:t>
            </w:r>
          </w:p>
        </w:tc>
        <w:tc>
          <w:tcPr>
            <w:tcW w:type="dxa" w:w="4479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7"/>
              </w:rPr>
              <w:t>从第一天记录人工介入和原流程基线</w:t>
            </w:r>
          </w:p>
        </w:tc>
      </w:tr>
    </w:tbl>
    <w:p>
      <w:pPr>
        <w:widowControl/>
        <w:spacing w:after="40"/>
      </w:pP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12.3 立项后的第一批动作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1.  向同学获取一份最耗人的固件回归 SOP、一份脱敏测试报告和两个固件版本。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2.  选定一台独立测试主机和一块允许反复写入/刷写的测试 SSD。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3.  用人工完整执行一次 SOP，逐步记录动作、等待、判断、异常和最终报告。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4.  将流程拆成“专家判断”和“机械执行”，只自动化后者。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5.  先实现设备身份、安全预检、任务状态机和原始证据采集，再做 AI。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6.  接入第一个刷固件工具与第一个 I/O/日志工具。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7.  接入树莓派 Power/Reset，模拟 Agent 失联和主机卡死。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8.  完成固件 A/B 的 100 次循环 Demo，统计人工介入和失败证据。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9.  让真实验证工程师审阅报告，修改 Evidence Bundle 和状态码。</w:t>
      </w:r>
    </w:p>
    <w:p>
      <w:pPr>
        <w:widowControl/>
        <w:spacing w:after="40" w:line="300" w:lineRule="auto"/>
        <w:ind w:left="408" w:hanging="272"/>
      </w:pPr>
      <w:r>
        <w:rPr>
          <w:rFonts w:ascii="Noto Sans CJK SC" w:hAnsi="Noto Sans CJK SC" w:eastAsia="Noto Sans CJK SC"/>
          <w:color w:val="1D2730"/>
          <w:sz w:val="20"/>
        </w:rPr>
        <w:t>10.  用 Demo 向第二个潜在客户验证是否存在同类 SOP，而不是立即扩功能。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12.4 最终立项结论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1"/>
            <w:shd w:fill="E8F4F5"/>
            <w:tcBorders>
              <w:top w:sz="12" w:val="single" w:color="167D8D"/>
              <w:left w:sz="30" w:val="single" w:color="167D8D"/>
              <w:bottom w:sz="12" w:val="single" w:color="167D8D"/>
              <w:right w:sz="12" w:val="single" w:color="167D8D"/>
            </w:tcBorders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spacing w:after="40"/>
            </w:pPr>
            <w:r>
              <w:rPr>
                <w:rFonts w:ascii="Noto Sans CJK SC" w:hAnsi="Noto Sans CJK SC" w:eastAsia="Noto Sans CJK SC"/>
                <w:b/>
                <w:color w:val="167D8D"/>
                <w:sz w:val="22"/>
              </w:rPr>
              <w:t>建议立项</w:t>
            </w:r>
          </w:p>
          <w:p>
            <w:pPr>
              <w:spacing w:line="312" w:lineRule="auto" w:after="0"/>
            </w:pPr>
            <w:r>
              <w:rPr>
                <w:rFonts w:ascii="Noto Sans CJK SC" w:hAnsi="Noto Sans CJK SC" w:eastAsia="Noto Sans CJK SC"/>
                <w:color w:val="1D2730"/>
                <w:sz w:val="20"/>
              </w:rPr>
              <w:t>以“固件回归测试值守机器人”为第一产品，底层定位为 Storage LabOS 的单工位执行节点。第一阶段只证明三件事：测试能自动完成、主机异常能自救、失败能自动形成可用证据。完成后再扩展多工位和兼容性测试柜。</w:t>
            </w:r>
          </w:p>
        </w:tc>
      </w:tr>
    </w:tbl>
    <w:p>
      <w:pPr>
        <w:widowControl/>
        <w:spacing w:after="20"/>
      </w:pPr>
    </w:p>
    <w:p>
      <w:pPr>
        <w:widowControl/>
      </w:pPr>
      <w:r>
        <w:br w:type="page"/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附录 A｜工作流与证据目录示例</w:t>
      </w:r>
    </w:p>
    <w:p>
      <w:pPr>
        <w:pStyle w:val="Heading2"/>
        <w:keepNext/>
        <w:widowControl/>
        <w:spacing w:before="160" w:after="80"/>
      </w:pPr>
      <w:r>
        <w:rPr>
          <w:rFonts w:ascii="Noto Sans CJK SC" w:hAnsi="Noto Sans CJK SC" w:eastAsia="Noto Sans CJK SC"/>
          <w:b/>
          <w:color w:val="15324B"/>
          <w:sz w:val="28"/>
        </w:rPr>
        <w:t>A.1 Evidence Bundle 目录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2"/>
      </w:tblGrid>
      <w:tr>
        <w:trPr>
          <w:cantSplit/>
        </w:trPr>
        <w:tc>
          <w:tcPr>
            <w:tcW w:type="dxa" w:w="9752"/>
            <w:shd w:fill="F3F5F7"/>
            <w:tcBorders>
              <w:top w:sz="8" w:val="single" w:color="D0D7DD"/>
              <w:left w:sz="8" w:val="single" w:color="D0D7DD"/>
              <w:bottom w:sz="8" w:val="single" w:color="D0D7DD"/>
              <w:right w:sz="8" w:val="single" w:color="D0D7DD"/>
            </w:tcBorders>
            <w:tcMar>
              <w:top w:w="100" w:type="dxa"/>
              <w:start w:w="140" w:type="dxa"/>
              <w:bottom w:w="100" w:type="dxa"/>
              <w:end w:w="140" w:type="dxa"/>
            </w:tcMar>
          </w:tcPr>
          <w:p>
            <w:pPr>
              <w:spacing w:line="252" w:lineRule="auto" w:after="0"/>
            </w:pP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run-20260727-0001/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manifest.json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environment/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host.json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dut.json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firmware.json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└── tool_versions.json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timeline/events.ndjson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device/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identify.json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smart-health.json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error-log.json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└── telemetry.bin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host/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system.log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kernel.log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└── device-enumeration.json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test/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stdout.log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stderr.log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metrics.json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└── hashes.json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oob/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heartbeat.ndjson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power-actions.ndjson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├── temperature.csv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│   └── screenshots/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├── recovery/recovery.json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>└── summary/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├── failure-signature.json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├── ai-summary.md</w:t>
            </w:r>
            <w:r>
              <w:br/>
            </w:r>
            <w:r>
              <w:rPr>
                <w:rFonts w:ascii="Noto Sans Mono CJK SC" w:hAnsi="Noto Sans Mono CJK SC" w:eastAsia="Noto Sans Mono CJK SC"/>
                <w:color w:val="24313A"/>
                <w:sz w:val="16"/>
              </w:rPr>
              <w:t xml:space="preserve">    └── issue-draft.md</w:t>
            </w:r>
          </w:p>
        </w:tc>
      </w:tr>
    </w:tbl>
    <w:p>
      <w:pPr>
        <w:widowControl/>
        <w:spacing w:after="20"/>
      </w:pPr>
    </w:p>
    <w:p>
      <w:pPr>
        <w:widowControl/>
      </w:pPr>
      <w:r>
        <w:br w:type="page"/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附录 B｜失败指纹建议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失败指纹应由稳定、可解释的字段组成，而不是直接使用大模型生成的文本。建议包含：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失败状态码与工作流步骤。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DUT 是否枚举、控制器/命名空间状态和链路信息。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关键错误码、内核事件、工具返回值和日志模板。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固件、主板、BIOS、OS、驱动和电源状态。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失败前后时间窗口内的温度、供电动作和恢复结果。</w:t>
      </w:r>
    </w:p>
    <w:p>
      <w:pPr>
        <w:pStyle w:val="ListBullet"/>
        <w:widowControl/>
        <w:spacing w:after="40" w:line="300" w:lineRule="auto"/>
      </w:pPr>
      <w:r>
        <w:rPr>
          <w:rFonts w:ascii="Noto Sans CJK SC" w:hAnsi="Noto Sans CJK SC" w:eastAsia="Noto Sans CJK SC"/>
          <w:color w:val="1D2730"/>
          <w:sz w:val="20"/>
        </w:rPr>
        <w:t>数据校验是否失败以及失败范围。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将结构化字段归一化后计算签名，再使用聚类或语义模型辅助合并相似问题。工程师可以手动拆分、合并和给簇命名，结果反哺后续规则。</w:t>
      </w:r>
    </w:p>
    <w:p>
      <w:pPr>
        <w:widowControl/>
      </w:pPr>
      <w:r>
        <w:br w:type="page"/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附录 C｜参考资料与竞品官方来源</w:t>
      </w:r>
    </w:p>
    <w:p>
      <w:pPr>
        <w:widowControl/>
        <w:spacing w:line="324" w:lineRule="auto" w:after="100"/>
      </w:pPr>
      <w:r>
        <w:rPr>
          <w:rFonts w:ascii="Noto Sans CJK SC" w:hAnsi="Noto Sans CJK SC" w:eastAsia="Noto Sans CJK SC"/>
          <w:i w:val="0"/>
          <w:color w:val="1D2730"/>
          <w:sz w:val="21"/>
        </w:rPr>
        <w:t>以下资料用于核对竞品公开定位与 NVMe 日志能力，访问日期均为 2026 年 7 月 27 日。竞品“缺口”属于基于公开产品定位的战略判断，不代表其不存在非公开或定制功能。</w:t>
      </w:r>
    </w:p>
    <w:p>
      <w:pPr>
        <w:widowControl/>
        <w:spacing w:after="80"/>
      </w:pPr>
      <w:hyperlink r:id="rId14">
        <w:r>
          <w:rPr>
            <w:color w:val="167D8D"/>
            <w:u w:val="single"/>
            <w:rFonts w:eastAsia="Noto Sans CJK SC" w:ascii="Noto Sans CJK SC" w:hAnsi="Noto Sans CJK SC"/>
          </w:rPr>
          <w:t>[1] ULINK DriveMaster 10 NVMe</w:t>
        </w:r>
      </w:hyperlink>
    </w:p>
    <w:p>
      <w:pPr>
        <w:widowControl/>
        <w:spacing w:after="80"/>
      </w:pPr>
      <w:hyperlink r:id="rId15">
        <w:r>
          <w:rPr>
            <w:color w:val="167D8D"/>
            <w:u w:val="single"/>
            <w:rFonts w:eastAsia="Noto Sans CJK SC" w:ascii="Noto Sans CJK SC" w:hAnsi="Noto Sans CJK SC"/>
          </w:rPr>
          <w:t>[2] ULINK NVMe Test Suites</w:t>
        </w:r>
      </w:hyperlink>
    </w:p>
    <w:p>
      <w:pPr>
        <w:widowControl/>
        <w:spacing w:after="80"/>
      </w:pPr>
      <w:hyperlink r:id="rId16">
        <w:r>
          <w:rPr>
            <w:color w:val="167D8D"/>
            <w:u w:val="single"/>
            <w:rFonts w:eastAsia="Noto Sans CJK SC" w:ascii="Noto Sans CJK SC" w:hAnsi="Noto Sans CJK SC"/>
          </w:rPr>
          <w:t>[3] ULINK PCIe-SSD Power Adapter Plus Gen4</w:t>
        </w:r>
      </w:hyperlink>
    </w:p>
    <w:p>
      <w:pPr>
        <w:widowControl/>
        <w:spacing w:after="80"/>
      </w:pPr>
      <w:hyperlink r:id="rId17">
        <w:r>
          <w:rPr>
            <w:color w:val="167D8D"/>
            <w:u w:val="single"/>
            <w:rFonts w:eastAsia="Noto Sans CJK SC" w:ascii="Noto Sans CJK SC" w:hAnsi="Noto Sans CJK SC"/>
          </w:rPr>
          <w:t>[4] Teledyne LeCroy OakGate SSD Test and Validation Solutions</w:t>
        </w:r>
      </w:hyperlink>
    </w:p>
    <w:p>
      <w:pPr>
        <w:widowControl/>
        <w:spacing w:after="80"/>
      </w:pPr>
      <w:hyperlink r:id="rId18">
        <w:r>
          <w:rPr>
            <w:color w:val="167D8D"/>
            <w:u w:val="single"/>
            <w:rFonts w:eastAsia="Noto Sans CJK SC" w:ascii="Noto Sans CJK SC" w:hAnsi="Noto Sans CJK SC"/>
          </w:rPr>
          <w:t>[5] SANBlaze SBExpress-RM5</w:t>
        </w:r>
      </w:hyperlink>
    </w:p>
    <w:p>
      <w:pPr>
        <w:widowControl/>
        <w:spacing w:after="80"/>
      </w:pPr>
      <w:hyperlink r:id="rId19">
        <w:r>
          <w:rPr>
            <w:color w:val="167D8D"/>
            <w:u w:val="single"/>
            <w:rFonts w:eastAsia="Noto Sans CJK SC" w:ascii="Noto Sans CJK SC" w:hAnsi="Noto Sans CJK SC"/>
          </w:rPr>
          <w:t>[6] SANBlaze SBExpress-DT5CD</w:t>
        </w:r>
      </w:hyperlink>
    </w:p>
    <w:p>
      <w:pPr>
        <w:widowControl/>
        <w:spacing w:after="80"/>
      </w:pPr>
      <w:hyperlink r:id="rId20">
        <w:r>
          <w:rPr>
            <w:color w:val="167D8D"/>
            <w:u w:val="single"/>
            <w:rFonts w:eastAsia="Noto Sans CJK SC" w:ascii="Noto Sans CJK SC" w:hAnsi="Noto Sans CJK SC"/>
          </w:rPr>
          <w:t>[7] Quarch Data Center &amp; AI Solutions</w:t>
        </w:r>
      </w:hyperlink>
    </w:p>
    <w:p>
      <w:pPr>
        <w:widowControl/>
        <w:spacing w:after="80"/>
      </w:pPr>
      <w:hyperlink r:id="rId21">
        <w:r>
          <w:rPr>
            <w:color w:val="167D8D"/>
            <w:u w:val="single"/>
            <w:rFonts w:eastAsia="Noto Sans CJK SC" w:ascii="Noto Sans CJK SC" w:hAnsi="Noto Sans CJK SC"/>
          </w:rPr>
          <w:t>[8] Quarch PyNVMe / PyNVMe3 Integration</w:t>
        </w:r>
      </w:hyperlink>
    </w:p>
    <w:p>
      <w:pPr>
        <w:widowControl/>
        <w:spacing w:after="80"/>
      </w:pPr>
      <w:hyperlink r:id="rId22">
        <w:r>
          <w:rPr>
            <w:color w:val="167D8D"/>
            <w:u w:val="single"/>
            <w:rFonts w:eastAsia="Noto Sans CJK SC" w:ascii="Noto Sans CJK SC" w:hAnsi="Noto Sans CJK SC"/>
          </w:rPr>
          <w:t>[9] PyNVMe3 User Guide</w:t>
        </w:r>
      </w:hyperlink>
    </w:p>
    <w:p>
      <w:pPr>
        <w:widowControl/>
        <w:spacing w:after="80"/>
      </w:pPr>
      <w:hyperlink r:id="rId23">
        <w:r>
          <w:rPr>
            <w:color w:val="167D8D"/>
            <w:u w:val="single"/>
            <w:rFonts w:eastAsia="Noto Sans CJK SC" w:ascii="Noto Sans CJK SC" w:hAnsi="Noto Sans CJK SC"/>
          </w:rPr>
          <w:t>[10] PyNVMe3 Developer’s Guide</w:t>
        </w:r>
      </w:hyperlink>
    </w:p>
    <w:p>
      <w:pPr>
        <w:widowControl/>
        <w:spacing w:after="80"/>
      </w:pPr>
      <w:hyperlink r:id="rId24">
        <w:r>
          <w:rPr>
            <w:color w:val="167D8D"/>
            <w:u w:val="single"/>
            <w:rFonts w:eastAsia="Noto Sans CJK SC" w:ascii="Noto Sans CJK SC" w:hAnsi="Noto Sans CJK SC"/>
          </w:rPr>
          <w:t>[11] NVM Express: Error Reporting, SMART, Log Pages and Management</w:t>
        </w:r>
      </w:hyperlink>
    </w:p>
    <w:p>
      <w:pPr>
        <w:widowControl/>
        <w:spacing w:after="80"/>
      </w:pPr>
      <w:hyperlink r:id="rId25">
        <w:r>
          <w:rPr>
            <w:color w:val="167D8D"/>
            <w:u w:val="single"/>
            <w:rFonts w:eastAsia="Noto Sans CJK SC" w:ascii="Noto Sans CJK SC" w:hAnsi="Noto Sans CJK SC"/>
          </w:rPr>
          <w:t>[12] NVM Express: Open Source NVMe CLI</w:t>
        </w:r>
      </w:hyperlink>
    </w:p>
    <w:p>
      <w:pPr>
        <w:widowControl/>
        <w:spacing w:after="80"/>
      </w:pPr>
      <w:hyperlink r:id="rId26">
        <w:r>
          <w:rPr>
            <w:color w:val="167D8D"/>
            <w:u w:val="single"/>
            <w:rFonts w:eastAsia="Noto Sans CJK SC" w:ascii="Noto Sans CJK SC" w:hAnsi="Noto Sans CJK SC"/>
          </w:rPr>
          <w:t>[13] Teledyne LeCroy: OakGate PCIe 6.0 / NVMe Validation Announcement</w:t>
        </w:r>
      </w:hyperlink>
    </w:p>
    <w:p>
      <w:pPr>
        <w:widowControl/>
        <w:spacing w:after="80"/>
      </w:pPr>
      <w:hyperlink r:id="rId27">
        <w:r>
          <w:rPr>
            <w:color w:val="167D8D"/>
            <w:u w:val="single"/>
            <w:rFonts w:eastAsia="Noto Sans CJK SC" w:ascii="Noto Sans CJK SC" w:hAnsi="Noto Sans CJK SC"/>
          </w:rPr>
          <w:t>[14] SANBlaze: Gen6 SSD Testing Announcement</w:t>
        </w:r>
      </w:hyperlink>
    </w:p>
    <w:p>
      <w:pPr>
        <w:widowControl/>
      </w:pPr>
      <w:r>
        <w:br w:type="page"/>
      </w:r>
    </w:p>
    <w:p>
      <w:pPr>
        <w:pStyle w:val="Heading1"/>
        <w:keepNext/>
        <w:spacing w:before="240" w:after="120"/>
        <w:widowControl/>
        <w:pBdr>
          <w:bottom w:val="single" w:sz="12" w:space="4" w:color="167D8D"/>
        </w:pBdr>
      </w:pPr>
      <w:r>
        <w:rPr>
          <w:rFonts w:ascii="Noto Sans CJK SC" w:hAnsi="Noto Sans CJK SC" w:eastAsia="Noto Sans CJK SC"/>
          <w:b/>
          <w:color w:val="15324B"/>
          <w:sz w:val="36"/>
        </w:rPr>
        <w:t>附录 D｜术语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76"/>
        <w:gridCol w:w="4876"/>
      </w:tblGrid>
      <w:tr>
        <w:trPr>
          <w:tblHeader w:val="true"/>
          <w:cantSplit/>
        </w:trPr>
        <w:tc>
          <w:tcPr>
            <w:tcW w:type="dxa" w:w="238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术语</w:t>
            </w:r>
          </w:p>
        </w:tc>
        <w:tc>
          <w:tcPr>
            <w:tcW w:type="dxa" w:w="7371"/>
            <w:shd w:fill="15324B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jc w:val="center"/>
            </w:pPr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DUT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Device Under Test，被测设备，本项目主要指 SSD。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OOB / 带外控制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独立于测试主机操作系统的控制路径，用于 Power、Reset、画面、串口和传感。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Evidence Bundle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一次失败或任务的标准化证据包。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UCR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Unattended Completion Rate，无人值守完成率。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Failure Signature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由状态、步骤、日志、环境和设备特征组成的失败指纹。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Regression Worker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Storage LabOS 的第一款单工位固件回归执行模块。</w:t>
            </w:r>
          </w:p>
        </w:tc>
      </w:tr>
      <w:tr>
        <w:trPr>
          <w:cantSplit/>
        </w:trPr>
        <w:tc>
          <w:tcPr>
            <w:tcW w:type="dxa" w:w="238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LabOS</w:t>
            </w:r>
          </w:p>
        </w:tc>
        <w:tc>
          <w:tcPr>
            <w:tcW w:type="dxa" w:w="7371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面向存储实验室的统一控制平面，管理任务、工位、证据、恢复和智能分析。</w:t>
            </w:r>
          </w:p>
        </w:tc>
      </w:tr>
      <w:tr>
        <w:trPr>
          <w:cantSplit/>
        </w:trPr>
        <w:tc>
          <w:tcPr>
            <w:tcW w:type="dxa" w:w="238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SOP</w:t>
            </w:r>
          </w:p>
        </w:tc>
        <w:tc>
          <w:tcPr>
            <w:tcW w:type="dxa" w:w="7371"/>
            <w:shd w:fill="F7F9FA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sz="6" w:val="single" w:color="D8E0E6"/>
              <w:left w:sz="6" w:val="single" w:color="D8E0E6"/>
              <w:bottom w:sz="6" w:val="single" w:color="D8E0E6"/>
              <w:right w:sz="6" w:val="single" w:color="D8E0E6"/>
            </w:tcBorders>
          </w:tcPr>
          <w:p>
            <w:pPr>
              <w:spacing w:after="0" w:line="288" w:lineRule="auto"/>
            </w:pPr>
            <w:r>
              <w:rPr>
                <w:rFonts w:ascii="Noto Sans CJK SC" w:hAnsi="Noto Sans CJK SC" w:eastAsia="Noto Sans CJK SC"/>
                <w:color w:val="1D2730"/>
                <w:sz w:val="18"/>
              </w:rPr>
              <w:t>Standard Operating Procedure，企业既有标准操作流程。</w:t>
            </w:r>
          </w:p>
        </w:tc>
      </w:tr>
    </w:tbl>
    <w:p>
      <w:pPr>
        <w:widowControl/>
        <w:spacing w:after="40"/>
      </w:pPr>
    </w:p>
    <w:p>
      <w:pPr>
        <w:widowControl/>
        <w:spacing w:before="320"/>
        <w:jc w:val="center"/>
      </w:pPr>
      <w:r>
        <w:rPr>
          <w:rFonts w:ascii="Noto Sans CJK SC" w:hAnsi="Noto Sans CJK SC" w:eastAsia="Noto Sans CJK SC"/>
          <w:color w:val="637381"/>
          <w:sz w:val="18"/>
        </w:rPr>
        <w:t>— 文档结束 —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77" w:bottom="907" w:left="1077" w:header="720" w:footer="720" w:gutter="0"/>
      <w:cols w:space="720"/>
      <w:titlePg/>
      <w:docGrid w:linePitch="36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Noto Sans CJK SC" w:hAnsi="Noto Sans CJK SC" w:eastAsia="Noto Sans CJK SC"/>
        <w:color w:val="637381"/>
        <w:sz w:val="18"/>
      </w:rPr>
      <w:t xml:space="preserve">第 </w:t>
      <w:fldChar w:fldCharType="begin"/>
      <w:instrText xml:space="preserve">PAGE</w:instrText>
      <w:fldChar w:fldCharType="end"/>
    </w:r>
    <w:r>
      <w:rPr>
        <w:rFonts w:ascii="Noto Sans CJK SC" w:hAnsi="Noto Sans CJK SC" w:eastAsia="Noto Sans CJK SC"/>
        <w:color w:val="637381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4" w:space="3" w:color="D6DEE4"/>
      </w:pBdr>
    </w:pPr>
    <w:r>
      <w:rPr>
        <w:rFonts w:ascii="Noto Sans CJK SC" w:hAnsi="Noto Sans CJK SC" w:eastAsia="Noto Sans CJK SC"/>
        <w:b/>
        <w:color w:val="637381"/>
        <w:sz w:val="17"/>
      </w:rPr>
      <w:t>Storage LabOS｜固件回归测试值守机器人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24" w:lineRule="auto"/>
    </w:pPr>
    <w:rPr>
      <w:rFonts w:ascii="Noto Sans CJK SC" w:hAnsi="Noto Sans CJK SC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5324B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5324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67D8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5324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Noto Sans CJK SC" w:hAnsi="Noto Sans CJK SC" w:eastAsia="Noto Sans CJK SC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Noto Sans CJK SC" w:hAnsi="Noto Sans CJK SC" w:eastAsia="Noto Sans CJK SC"/>
      <w:sz w:val="2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ulinktech.com/products/drivemaster-10-nvme/" TargetMode="External"/><Relationship Id="rId15" Type="http://schemas.openxmlformats.org/officeDocument/2006/relationships/hyperlink" Target="https://ulinktech.com/products/ulink-nvme-test-suites/" TargetMode="External"/><Relationship Id="rId16" Type="http://schemas.openxmlformats.org/officeDocument/2006/relationships/hyperlink" Target="https://ulinktech.com/products/pcie-ssd-power-adapter-plus-gen4/" TargetMode="External"/><Relationship Id="rId17" Type="http://schemas.openxmlformats.org/officeDocument/2006/relationships/hyperlink" Target="https://www.teledynelecroy.com/ssdtesting/oakgate-ssd-test-solutions.aspx" TargetMode="External"/><Relationship Id="rId18" Type="http://schemas.openxmlformats.org/officeDocument/2006/relationships/hyperlink" Target="https://www.sanblaze.com/sbexpress-rm5" TargetMode="External"/><Relationship Id="rId19" Type="http://schemas.openxmlformats.org/officeDocument/2006/relationships/hyperlink" Target="https://www.sanblaze.com/nvme-drive-testing/sbexpress-dt5cd-client-drive-nvme-tester" TargetMode="External"/><Relationship Id="rId20" Type="http://schemas.openxmlformats.org/officeDocument/2006/relationships/hyperlink" Target="https://quarch.com/solutions/data-center-ai-solutions/" TargetMode="External"/><Relationship Id="rId21" Type="http://schemas.openxmlformats.org/officeDocument/2006/relationships/hyperlink" Target="https://quarch.com/news/integrations/pynvme/" TargetMode="External"/><Relationship Id="rId22" Type="http://schemas.openxmlformats.org/officeDocument/2006/relationships/hyperlink" Target="https://pynv.me/ssd/user-guide/" TargetMode="External"/><Relationship Id="rId23" Type="http://schemas.openxmlformats.org/officeDocument/2006/relationships/hyperlink" Target="https://pynv.me/ssd/pynvme3-developers-guide/" TargetMode="External"/><Relationship Id="rId24" Type="http://schemas.openxmlformats.org/officeDocument/2006/relationships/hyperlink" Target="https://nvmexpress.org/resource/features-for-error-reporting-smart-log-pages-failures-and-management-capabilities-in-nvme-architectures/" TargetMode="External"/><Relationship Id="rId25" Type="http://schemas.openxmlformats.org/officeDocument/2006/relationships/hyperlink" Target="https://nvmexpress.org/open-source-nvme-management-utility-nvme-command-line-interface-nvme-cli/" TargetMode="External"/><Relationship Id="rId26" Type="http://schemas.openxmlformats.org/officeDocument/2006/relationships/hyperlink" Target="https://www.teledynelecroy.com/pressreleases/document.aspx?capid=107&amp;mid=554&amp;news_id=2279" TargetMode="External"/><Relationship Id="rId27" Type="http://schemas.openxmlformats.org/officeDocument/2006/relationships/hyperlink" Target="https://www.sanblaze.com/corporate/press-releases/gen6-ssd-testing-is-h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Storage LabOS 固件回归测试值守机器人：完整方案 V1.0</dc:title>
  <dc:subject>产品定义、开发方案、竞品差异与未来规划</dc:subject>
  <dc:creator>python-docx</dc:creator>
  <cp:keywords>存储, SSD, 固件回归, 测试自动化, 实验室, AI, 带外控制</cp:keywords>
  <dc:description>Prepared for internal project evaluation.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